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003AF" w:rsidRDefault="002758F4" w:rsidP="00DD2F1D">
                <w:pPr>
                  <w:rPr>
                    <w:rFonts w:ascii="Arial (W1)" w:hAnsi="Arial (W1)"/>
                    <w:b/>
                    <w:bCs/>
                    <w:noProof w:val="0"/>
                    <w:sz w:val="28"/>
                    <w:szCs w:val="28"/>
                  </w:rPr>
                </w:pPr>
                <w:r>
                  <w:rPr>
                    <w:rFonts w:hint="cs"/>
                    <w:b/>
                    <w:bCs/>
                    <w:noProof w:val="0"/>
                    <w:sz w:val="28"/>
                    <w:rtl/>
                  </w:rPr>
                  <w:t>מערער</w:t>
                </w:r>
                <w:r w:rsidR="00DD2F1D">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DD2F1D" w:rsidRDefault="0081443F" w:rsidP="003C0140">
            <w:pPr>
              <w:rPr>
                <w:b/>
                <w:bCs/>
                <w:noProof w:val="0"/>
                <w:sz w:val="28"/>
                <w:rtl/>
              </w:rPr>
            </w:pPr>
            <w:sdt>
              <w:sdtPr>
                <w:rPr>
                  <w:rFonts w:hint="cs"/>
                  <w:b/>
                  <w:bCs/>
                  <w:noProof w:val="0"/>
                  <w:sz w:val="28"/>
                  <w:rtl/>
                </w:rPr>
                <w:alias w:val="1478"/>
                <w:tag w:val="1478"/>
                <w:id w:val="160126198"/>
                <w:text w:multiLine="1"/>
              </w:sdtPr>
              <w:sdtEndPr/>
              <w:sdtContent>
                <w:r w:rsidR="003C0140">
                  <w:rPr>
                    <w:rFonts w:hint="cs"/>
                    <w:b/>
                    <w:bCs/>
                    <w:noProof w:val="0"/>
                    <w:sz w:val="28"/>
                    <w:rtl/>
                  </w:rPr>
                  <w:t>פלונית</w:t>
                </w:r>
              </w:sdtContent>
            </w:sdt>
            <w:r w:rsidR="009C358E" w:rsidRPr="009C358E">
              <w:rPr>
                <w:rFonts w:hint="cs"/>
                <w:b/>
                <w:bCs/>
                <w:noProof w:val="0"/>
                <w:sz w:val="28"/>
                <w:rtl/>
              </w:rPr>
              <w:t xml:space="preserve"> </w:t>
            </w:r>
          </w:p>
          <w:p w:rsidR="006816EC" w:rsidRDefault="00E44DDF" w:rsidP="00DD2F1D">
            <w:pPr>
              <w:rPr>
                <w:rFonts w:ascii="Arial (W1)" w:hAnsi="Arial (W1)"/>
                <w:b/>
                <w:bCs/>
                <w:noProof w:val="0"/>
                <w:sz w:val="28"/>
                <w:szCs w:val="28"/>
              </w:rPr>
            </w:pPr>
            <w:r>
              <w:rPr>
                <w:rFonts w:ascii="Arial" w:hAnsi="Arial"/>
                <w:b/>
                <w:bCs/>
                <w:noProof w:val="0"/>
                <w:sz w:val="26"/>
                <w:szCs w:val="26"/>
                <w:rtl/>
              </w:rPr>
              <w:t>ע"י ב"כ עו"ד</w:t>
            </w:r>
            <w:r w:rsidR="00DD2F1D">
              <w:rPr>
                <w:rFonts w:ascii="Arial" w:hAnsi="Arial" w:hint="cs"/>
                <w:b/>
                <w:bCs/>
                <w:noProof w:val="0"/>
                <w:sz w:val="26"/>
                <w:szCs w:val="26"/>
                <w:rtl/>
              </w:rPr>
              <w:t xml:space="preserve"> דוד עמיחי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81443F" w:rsidP="00DD2F1D">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w:t>
                </w:r>
              </w:sdtContent>
            </w:sdt>
          </w:p>
        </w:tc>
        <w:tc>
          <w:tcPr>
            <w:tcW w:w="5571" w:type="dxa"/>
          </w:tcPr>
          <w:p w:rsidR="00DD2F1D" w:rsidRDefault="0081443F" w:rsidP="003C0140">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3C0140">
                  <w:rPr>
                    <w:rFonts w:hint="cs"/>
                    <w:b/>
                    <w:bCs/>
                    <w:noProof w:val="0"/>
                    <w:sz w:val="28"/>
                    <w:rtl/>
                  </w:rPr>
                  <w:t>פלוני</w:t>
                </w:r>
              </w:sdtContent>
            </w:sdt>
          </w:p>
          <w:p w:rsidR="006816EC" w:rsidRDefault="00E44DDF" w:rsidP="007A6319">
            <w:pPr>
              <w:rPr>
                <w:rFonts w:ascii="Arial (W1)" w:hAnsi="Arial (W1)"/>
                <w:b/>
                <w:bCs/>
                <w:noProof w:val="0"/>
                <w:sz w:val="28"/>
                <w:szCs w:val="28"/>
              </w:rPr>
            </w:pPr>
            <w:r>
              <w:rPr>
                <w:rFonts w:ascii="Arial" w:hAnsi="Arial"/>
                <w:b/>
                <w:bCs/>
                <w:noProof w:val="0"/>
                <w:sz w:val="26"/>
                <w:szCs w:val="26"/>
                <w:rtl/>
              </w:rPr>
              <w:t>ע"י ב"כ עו"ד</w:t>
            </w:r>
            <w:r w:rsidR="00DD2F1D">
              <w:rPr>
                <w:rFonts w:ascii="Arial" w:hAnsi="Arial" w:hint="cs"/>
                <w:b/>
                <w:bCs/>
                <w:noProof w:val="0"/>
                <w:sz w:val="26"/>
                <w:szCs w:val="26"/>
                <w:rtl/>
              </w:rPr>
              <w:t xml:space="preserve"> ש</w:t>
            </w:r>
            <w:r w:rsidR="007A6319">
              <w:rPr>
                <w:rFonts w:ascii="Arial" w:hAnsi="Arial" w:hint="cs"/>
                <w:b/>
                <w:bCs/>
                <w:noProof w:val="0"/>
                <w:sz w:val="26"/>
                <w:szCs w:val="26"/>
                <w:rtl/>
              </w:rPr>
              <w:t>למה</w:t>
            </w:r>
            <w:r w:rsidR="00DD2F1D">
              <w:rPr>
                <w:rFonts w:ascii="Arial" w:hAnsi="Arial" w:hint="cs"/>
                <w:b/>
                <w:bCs/>
                <w:noProof w:val="0"/>
                <w:sz w:val="26"/>
                <w:szCs w:val="26"/>
                <w:rtl/>
              </w:rPr>
              <w:t xml:space="preserve"> ובר</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DD2F1D" w:rsidRDefault="00DD2F1D" w:rsidP="00DD2F1D">
            <w:pPr>
              <w:bidi w:val="0"/>
              <w:jc w:val="center"/>
              <w:rPr>
                <w:rFonts w:ascii="Arial" w:hAnsi="Arial"/>
                <w:b/>
                <w:bCs/>
                <w:noProof w:val="0"/>
                <w:sz w:val="28"/>
                <w:szCs w:val="28"/>
                <w:u w:val="single"/>
              </w:rPr>
            </w:pPr>
          </w:p>
        </w:tc>
      </w:tr>
    </w:tbl>
    <w:p w:rsidR="00DD2F1D" w:rsidRDefault="00DD2F1D" w:rsidP="0064035B">
      <w:pPr>
        <w:pStyle w:val="ad"/>
        <w:numPr>
          <w:ilvl w:val="0"/>
          <w:numId w:val="1"/>
        </w:numPr>
        <w:spacing w:line="360" w:lineRule="auto"/>
        <w:jc w:val="both"/>
        <w:rPr>
          <w:rFonts w:ascii="Arial" w:hAnsi="Arial"/>
          <w:noProof w:val="0"/>
        </w:rPr>
      </w:pPr>
      <w:r w:rsidRPr="00DD2F1D">
        <w:rPr>
          <w:rFonts w:ascii="Arial" w:hAnsi="Arial" w:hint="cs"/>
          <w:noProof w:val="0"/>
          <w:rtl/>
        </w:rPr>
        <w:t>לפני ערעור על החלטת רשם ההוצל"פ ב</w:t>
      </w:r>
      <w:r w:rsidR="0064035B">
        <w:rPr>
          <w:rFonts w:ascii="Arial" w:hAnsi="Arial" w:hint="cs"/>
          <w:noProof w:val="0"/>
          <w:rtl/>
        </w:rPr>
        <w:t>ת"א</w:t>
      </w:r>
      <w:r w:rsidRPr="00DD2F1D">
        <w:rPr>
          <w:rFonts w:ascii="Arial" w:hAnsi="Arial" w:hint="cs"/>
          <w:noProof w:val="0"/>
          <w:rtl/>
        </w:rPr>
        <w:t xml:space="preserve"> (כב' הרשם אוהד אשר) מיום 29.6.24</w:t>
      </w:r>
      <w:r>
        <w:rPr>
          <w:rFonts w:ascii="Arial" w:hAnsi="Arial" w:hint="cs"/>
          <w:noProof w:val="0"/>
          <w:rtl/>
        </w:rPr>
        <w:t xml:space="preserve"> בה נקבע: </w:t>
      </w:r>
    </w:p>
    <w:p w:rsidR="00694556" w:rsidRDefault="00DD2F1D" w:rsidP="007A6319">
      <w:pPr>
        <w:pStyle w:val="ad"/>
        <w:tabs>
          <w:tab w:val="left" w:pos="1134"/>
          <w:tab w:val="left" w:pos="1559"/>
        </w:tabs>
        <w:ind w:left="1559" w:right="567" w:hanging="839"/>
        <w:jc w:val="both"/>
        <w:rPr>
          <w:rFonts w:ascii="Arial" w:hAnsi="Arial"/>
          <w:b/>
          <w:bCs/>
          <w:noProof w:val="0"/>
          <w:rtl/>
        </w:rPr>
      </w:pPr>
      <w:r>
        <w:rPr>
          <w:rFonts w:ascii="Arial" w:hAnsi="Arial"/>
          <w:noProof w:val="0"/>
          <w:rtl/>
        </w:rPr>
        <w:tab/>
      </w:r>
      <w:r>
        <w:rPr>
          <w:rFonts w:ascii="Arial" w:hAnsi="Arial" w:hint="cs"/>
          <w:noProof w:val="0"/>
          <w:rtl/>
        </w:rPr>
        <w:t>"</w:t>
      </w:r>
      <w:r w:rsidRPr="009F764F">
        <w:rPr>
          <w:rFonts w:ascii="Arial" w:hAnsi="Arial" w:hint="cs"/>
          <w:b/>
          <w:bCs/>
          <w:noProof w:val="0"/>
          <w:rtl/>
        </w:rPr>
        <w:t>1</w:t>
      </w:r>
      <w:r>
        <w:rPr>
          <w:rFonts w:ascii="Arial" w:hAnsi="Arial" w:hint="cs"/>
          <w:noProof w:val="0"/>
          <w:rtl/>
        </w:rPr>
        <w:t>.</w:t>
      </w:r>
      <w:r w:rsidR="007A6319">
        <w:rPr>
          <w:rFonts w:ascii="Arial" w:hAnsi="Arial"/>
          <w:noProof w:val="0"/>
          <w:rtl/>
        </w:rPr>
        <w:tab/>
      </w:r>
      <w:r>
        <w:rPr>
          <w:rFonts w:ascii="Arial" w:hAnsi="Arial" w:hint="cs"/>
          <w:b/>
          <w:bCs/>
          <w:noProof w:val="0"/>
          <w:rtl/>
        </w:rPr>
        <w:t>אני מורה על חידוש הליכים בתיק על מנת לאפשר לכונס הנכסים להגיש בקשה להנפקת הודעת פינוי לאחר יום 7.8.24</w:t>
      </w:r>
      <w:r w:rsidR="007A6319">
        <w:rPr>
          <w:rFonts w:ascii="Arial" w:hAnsi="Arial" w:hint="cs"/>
          <w:b/>
          <w:bCs/>
          <w:noProof w:val="0"/>
          <w:rtl/>
        </w:rPr>
        <w:t>.</w:t>
      </w:r>
    </w:p>
    <w:p w:rsidR="007A6319" w:rsidRDefault="007A6319" w:rsidP="007A6319">
      <w:pPr>
        <w:pStyle w:val="ad"/>
        <w:tabs>
          <w:tab w:val="left" w:pos="1134"/>
          <w:tab w:val="left" w:pos="1559"/>
        </w:tabs>
        <w:ind w:left="1559" w:right="567" w:hanging="839"/>
        <w:jc w:val="both"/>
        <w:rPr>
          <w:rFonts w:ascii="Arial" w:hAnsi="Arial"/>
          <w:b/>
          <w:bCs/>
          <w:noProof w:val="0"/>
          <w:rtl/>
        </w:rPr>
      </w:pPr>
      <w:r>
        <w:rPr>
          <w:rFonts w:ascii="Arial" w:hAnsi="Arial"/>
          <w:b/>
          <w:bCs/>
          <w:noProof w:val="0"/>
          <w:rtl/>
        </w:rPr>
        <w:tab/>
      </w:r>
      <w:r w:rsidR="009F764F">
        <w:rPr>
          <w:rFonts w:ascii="Arial" w:hAnsi="Arial" w:hint="cs"/>
          <w:b/>
          <w:bCs/>
          <w:noProof w:val="0"/>
          <w:rtl/>
        </w:rPr>
        <w:t xml:space="preserve">  </w:t>
      </w:r>
      <w:r>
        <w:rPr>
          <w:rFonts w:ascii="Arial" w:hAnsi="Arial" w:hint="cs"/>
          <w:b/>
          <w:bCs/>
          <w:noProof w:val="0"/>
          <w:rtl/>
        </w:rPr>
        <w:t>2.</w:t>
      </w:r>
      <w:r>
        <w:rPr>
          <w:rFonts w:ascii="Arial" w:hAnsi="Arial"/>
          <w:b/>
          <w:bCs/>
          <w:noProof w:val="0"/>
          <w:rtl/>
        </w:rPr>
        <w:tab/>
      </w:r>
      <w:r>
        <w:rPr>
          <w:rFonts w:ascii="Arial" w:hAnsi="Arial" w:hint="cs"/>
          <w:b/>
          <w:bCs/>
          <w:noProof w:val="0"/>
          <w:rtl/>
        </w:rPr>
        <w:t>לאחר הנפקת ההודעה ומסירתה אורה על השבת העיכוב בתיק על כנו.</w:t>
      </w:r>
    </w:p>
    <w:p w:rsidR="009F764F" w:rsidRDefault="009F764F" w:rsidP="007A6319">
      <w:pPr>
        <w:pStyle w:val="ad"/>
        <w:tabs>
          <w:tab w:val="left" w:pos="1134"/>
          <w:tab w:val="left" w:pos="1559"/>
        </w:tabs>
        <w:ind w:left="1559" w:right="567" w:hanging="839"/>
        <w:jc w:val="both"/>
        <w:rPr>
          <w:rFonts w:ascii="Arial" w:hAnsi="Arial"/>
          <w:b/>
          <w:bCs/>
          <w:noProof w:val="0"/>
          <w:rtl/>
        </w:rPr>
      </w:pPr>
      <w:r>
        <w:rPr>
          <w:rFonts w:ascii="Arial" w:hAnsi="Arial"/>
          <w:b/>
          <w:bCs/>
          <w:noProof w:val="0"/>
          <w:rtl/>
        </w:rPr>
        <w:tab/>
      </w:r>
      <w:r>
        <w:rPr>
          <w:rFonts w:ascii="Arial" w:hAnsi="Arial" w:hint="cs"/>
          <w:b/>
          <w:bCs/>
          <w:noProof w:val="0"/>
          <w:rtl/>
        </w:rPr>
        <w:t xml:space="preserve">  3.</w:t>
      </w:r>
      <w:r>
        <w:rPr>
          <w:rFonts w:ascii="Arial" w:hAnsi="Arial" w:hint="cs"/>
          <w:b/>
          <w:bCs/>
          <w:noProof w:val="0"/>
          <w:rtl/>
        </w:rPr>
        <w:tab/>
        <w:t xml:space="preserve">ביום 8.8.24 יודיע הכונס באם התשלום בוצע. ככל שבוצע </w:t>
      </w:r>
      <w:r>
        <w:rPr>
          <w:rFonts w:ascii="Arial" w:hAnsi="Arial"/>
          <w:b/>
          <w:bCs/>
          <w:noProof w:val="0"/>
          <w:rtl/>
        </w:rPr>
        <w:t>–</w:t>
      </w:r>
      <w:r>
        <w:rPr>
          <w:rFonts w:ascii="Arial" w:hAnsi="Arial" w:hint="cs"/>
          <w:b/>
          <w:bCs/>
          <w:noProof w:val="0"/>
          <w:rtl/>
        </w:rPr>
        <w:t xml:space="preserve"> העיכוב יימשך ולא יונפק צו פינוי. </w:t>
      </w:r>
    </w:p>
    <w:p w:rsidR="009F764F" w:rsidRDefault="009F764F" w:rsidP="007A6319">
      <w:pPr>
        <w:pStyle w:val="ad"/>
        <w:tabs>
          <w:tab w:val="left" w:pos="1134"/>
          <w:tab w:val="left" w:pos="1559"/>
        </w:tabs>
        <w:ind w:left="1559" w:right="567" w:hanging="839"/>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hint="cs"/>
          <w:b/>
          <w:bCs/>
          <w:noProof w:val="0"/>
          <w:rtl/>
        </w:rPr>
        <w:t xml:space="preserve">ככל שלא שולם </w:t>
      </w:r>
      <w:r>
        <w:rPr>
          <w:rFonts w:ascii="Arial" w:hAnsi="Arial"/>
          <w:b/>
          <w:bCs/>
          <w:noProof w:val="0"/>
          <w:rtl/>
        </w:rPr>
        <w:t>–</w:t>
      </w:r>
      <w:r>
        <w:rPr>
          <w:rFonts w:ascii="Arial" w:hAnsi="Arial" w:hint="cs"/>
          <w:b/>
          <w:bCs/>
          <w:noProof w:val="0"/>
          <w:rtl/>
        </w:rPr>
        <w:t xml:space="preserve"> תוגש בקשה דחופה להנפקת צו פינוי"</w:t>
      </w:r>
    </w:p>
    <w:p w:rsidR="007A6319" w:rsidRPr="00DD2F1D" w:rsidRDefault="007A6319" w:rsidP="007A6319">
      <w:pPr>
        <w:pStyle w:val="ad"/>
        <w:tabs>
          <w:tab w:val="left" w:pos="1134"/>
          <w:tab w:val="left" w:pos="1559"/>
        </w:tabs>
        <w:ind w:left="1559" w:right="567" w:hanging="839"/>
        <w:jc w:val="both"/>
        <w:rPr>
          <w:rFonts w:ascii="Arial" w:hAnsi="Arial"/>
          <w:noProof w:val="0"/>
        </w:rPr>
      </w:pPr>
    </w:p>
    <w:p w:rsidR="00DD2F1D" w:rsidRDefault="007A6319" w:rsidP="007A6319">
      <w:pPr>
        <w:pStyle w:val="ad"/>
        <w:numPr>
          <w:ilvl w:val="0"/>
          <w:numId w:val="1"/>
        </w:numPr>
        <w:spacing w:line="360" w:lineRule="auto"/>
        <w:jc w:val="both"/>
        <w:rPr>
          <w:rFonts w:ascii="Arial" w:hAnsi="Arial"/>
          <w:noProof w:val="0"/>
        </w:rPr>
      </w:pPr>
      <w:r>
        <w:rPr>
          <w:rFonts w:ascii="Arial" w:hAnsi="Arial" w:hint="cs"/>
          <w:noProof w:val="0"/>
          <w:rtl/>
        </w:rPr>
        <w:t>סמוך לאחר מתן ההחלטה נשוא הערעור, הגישה המערערת בקשה לביטולה בתיק ההוצל"פ. בקשתה נדחתה בהחלטה מנומקת של כב' הרשם מיום 30.6.24.</w:t>
      </w:r>
    </w:p>
    <w:p w:rsidR="002758F4" w:rsidRDefault="002758F4" w:rsidP="002758F4">
      <w:pPr>
        <w:pStyle w:val="ad"/>
        <w:spacing w:line="360" w:lineRule="auto"/>
        <w:jc w:val="both"/>
        <w:rPr>
          <w:rFonts w:ascii="Arial" w:hAnsi="Arial"/>
          <w:noProof w:val="0"/>
        </w:rPr>
      </w:pPr>
      <w:r>
        <w:rPr>
          <w:rFonts w:ascii="Arial" w:hAnsi="Arial" w:hint="cs"/>
          <w:noProof w:val="0"/>
          <w:rtl/>
        </w:rPr>
        <w:t>בהחלטה נוספת של כב' הרשם מיום 30.6.24, הורה למזכירות להנפיק הודעת פינוי למערערת ליום 15.8.24.</w:t>
      </w:r>
    </w:p>
    <w:p w:rsidR="007A6319" w:rsidRDefault="007A6319" w:rsidP="007A6319">
      <w:pPr>
        <w:pStyle w:val="ad"/>
        <w:spacing w:line="360" w:lineRule="auto"/>
        <w:jc w:val="both"/>
        <w:rPr>
          <w:rFonts w:ascii="Arial" w:hAnsi="Arial"/>
          <w:noProof w:val="0"/>
        </w:rPr>
      </w:pPr>
    </w:p>
    <w:p w:rsidR="002758F4" w:rsidRPr="002758F4" w:rsidRDefault="007A6319" w:rsidP="002758F4">
      <w:pPr>
        <w:pStyle w:val="ad"/>
        <w:numPr>
          <w:ilvl w:val="0"/>
          <w:numId w:val="1"/>
        </w:numPr>
        <w:spacing w:line="360" w:lineRule="auto"/>
        <w:jc w:val="both"/>
        <w:rPr>
          <w:rFonts w:ascii="Arial" w:hAnsi="Arial"/>
          <w:noProof w:val="0"/>
          <w:rtl/>
        </w:rPr>
      </w:pPr>
      <w:r w:rsidRPr="002758F4">
        <w:rPr>
          <w:rFonts w:ascii="Arial" w:hAnsi="Arial" w:hint="cs"/>
          <w:noProof w:val="0"/>
          <w:rtl/>
        </w:rPr>
        <w:t>הערעור הוגש ביום 15.7.24</w:t>
      </w:r>
      <w:r w:rsidR="00DF3154" w:rsidRPr="002758F4">
        <w:rPr>
          <w:rFonts w:ascii="Arial" w:hAnsi="Arial" w:hint="cs"/>
          <w:noProof w:val="0"/>
          <w:rtl/>
        </w:rPr>
        <w:t>, ביום האחרון להגשתו על פי התקנות</w:t>
      </w:r>
      <w:r w:rsidR="002758F4" w:rsidRPr="002758F4">
        <w:rPr>
          <w:rFonts w:ascii="Arial" w:hAnsi="Arial" w:hint="cs"/>
          <w:noProof w:val="0"/>
          <w:rtl/>
        </w:rPr>
        <w:t xml:space="preserve"> (15 ימים ממועד קבלת ההחלטה ולא 20 ימים כפי שצ</w:t>
      </w:r>
      <w:r w:rsidR="002758F4">
        <w:rPr>
          <w:rFonts w:ascii="Arial" w:hAnsi="Arial" w:hint="cs"/>
          <w:noProof w:val="0"/>
          <w:rtl/>
        </w:rPr>
        <w:t>ו</w:t>
      </w:r>
      <w:r w:rsidR="002758F4" w:rsidRPr="002758F4">
        <w:rPr>
          <w:rFonts w:ascii="Arial" w:hAnsi="Arial" w:hint="cs"/>
          <w:noProof w:val="0"/>
          <w:rtl/>
        </w:rPr>
        <w:t>ין בכותרת כתב הערעור, ראו תקנה 45(ג) ל</w:t>
      </w:r>
      <w:r w:rsidR="002758F4" w:rsidRPr="0064035B">
        <w:rPr>
          <w:rFonts w:ascii="Arial" w:hAnsi="Arial" w:hint="cs"/>
          <w:noProof w:val="0"/>
          <w:u w:val="single"/>
          <w:rtl/>
        </w:rPr>
        <w:t>תקנות בית משפט לעניין משפחה</w:t>
      </w:r>
      <w:r w:rsidR="002758F4" w:rsidRPr="002758F4">
        <w:rPr>
          <w:rFonts w:ascii="Arial" w:hAnsi="Arial" w:hint="cs"/>
          <w:noProof w:val="0"/>
          <w:rtl/>
        </w:rPr>
        <w:t xml:space="preserve"> (סדרי דין), התשפ"א-2020</w:t>
      </w:r>
      <w:r w:rsidR="002758F4">
        <w:rPr>
          <w:rFonts w:ascii="Arial" w:hAnsi="Arial" w:hint="cs"/>
          <w:noProof w:val="0"/>
          <w:rtl/>
        </w:rPr>
        <w:t>)</w:t>
      </w:r>
      <w:r w:rsidR="002758F4" w:rsidRPr="002758F4">
        <w:rPr>
          <w:rFonts w:ascii="Arial" w:hAnsi="Arial" w:hint="cs"/>
          <w:noProof w:val="0"/>
          <w:rtl/>
        </w:rPr>
        <w:t>.</w:t>
      </w:r>
    </w:p>
    <w:p w:rsidR="009F764F" w:rsidRPr="00DF3154" w:rsidRDefault="009F764F" w:rsidP="000F0E01">
      <w:pPr>
        <w:pStyle w:val="ad"/>
        <w:spacing w:line="360" w:lineRule="auto"/>
        <w:jc w:val="both"/>
        <w:rPr>
          <w:rFonts w:ascii="Arial" w:hAnsi="Arial"/>
          <w:b/>
          <w:bCs/>
          <w:noProof w:val="0"/>
          <w:rtl/>
        </w:rPr>
      </w:pPr>
    </w:p>
    <w:p w:rsidR="00FE54F0" w:rsidRDefault="007A6319" w:rsidP="0064035B">
      <w:pPr>
        <w:pStyle w:val="ad"/>
        <w:spacing w:line="360" w:lineRule="auto"/>
        <w:jc w:val="both"/>
        <w:rPr>
          <w:rFonts w:ascii="Arial" w:hAnsi="Arial"/>
          <w:noProof w:val="0"/>
          <w:rtl/>
        </w:rPr>
      </w:pPr>
      <w:r w:rsidRPr="009F764F">
        <w:rPr>
          <w:rFonts w:ascii="Arial" w:hAnsi="Arial" w:hint="cs"/>
          <w:b/>
          <w:bCs/>
          <w:noProof w:val="0"/>
          <w:rtl/>
        </w:rPr>
        <w:t>לטענת המערערת, בתמצית</w:t>
      </w:r>
      <w:r>
        <w:rPr>
          <w:rFonts w:ascii="Arial" w:hAnsi="Arial" w:hint="cs"/>
          <w:noProof w:val="0"/>
          <w:rtl/>
        </w:rPr>
        <w:t xml:space="preserve"> </w:t>
      </w:r>
      <w:r>
        <w:rPr>
          <w:rFonts w:ascii="Arial" w:hAnsi="Arial"/>
          <w:noProof w:val="0"/>
          <w:rtl/>
        </w:rPr>
        <w:t>–</w:t>
      </w:r>
      <w:r>
        <w:rPr>
          <w:rFonts w:ascii="Arial" w:hAnsi="Arial" w:hint="cs"/>
          <w:noProof w:val="0"/>
          <w:rtl/>
        </w:rPr>
        <w:t xml:space="preserve"> החלטת כב' הרשם לא חוקית ובטלה, לנוכח צו עיכוב הליכים אשר ניתן על ידי בימ"ש ביום 22.5.24 ותוקפו עד יום </w:t>
      </w:r>
      <w:r w:rsidR="000F0E01">
        <w:rPr>
          <w:rFonts w:ascii="Arial" w:hAnsi="Arial" w:hint="cs"/>
          <w:noProof w:val="0"/>
          <w:rtl/>
        </w:rPr>
        <w:t xml:space="preserve">7.8.24; כב' הרשם חרג מסמכותו עת הורה למזכירות לשפעל הליכים </w:t>
      </w:r>
      <w:r w:rsidR="000F0E01" w:rsidRPr="000F0E01">
        <w:rPr>
          <w:rFonts w:ascii="Arial" w:hAnsi="Arial" w:hint="cs"/>
          <w:noProof w:val="0"/>
          <w:rtl/>
        </w:rPr>
        <w:t>בניגוד ותוך שינוי מהותי</w:t>
      </w:r>
      <w:r w:rsidR="000F0E01">
        <w:rPr>
          <w:rFonts w:ascii="Arial" w:hAnsi="Arial" w:hint="cs"/>
          <w:b/>
          <w:bCs/>
          <w:noProof w:val="0"/>
          <w:rtl/>
        </w:rPr>
        <w:t xml:space="preserve"> </w:t>
      </w:r>
      <w:r w:rsidR="000F0E01" w:rsidRPr="000F0E01">
        <w:rPr>
          <w:rFonts w:ascii="Arial" w:hAnsi="Arial" w:hint="cs"/>
          <w:noProof w:val="0"/>
          <w:rtl/>
        </w:rPr>
        <w:t>מהוראת בימ"ש בהחלטה</w:t>
      </w:r>
      <w:r w:rsidR="000F0E01">
        <w:rPr>
          <w:rFonts w:ascii="Arial" w:hAnsi="Arial" w:hint="cs"/>
          <w:noProof w:val="0"/>
          <w:rtl/>
        </w:rPr>
        <w:t xml:space="preserve"> מיום 22.5.24. כב' הרשם נתן פרשנות להחלטה מתוך רצון לקדם יעילות בביצוע הליכים,</w:t>
      </w:r>
      <w:r w:rsidR="009F764F">
        <w:rPr>
          <w:rFonts w:ascii="Arial" w:hAnsi="Arial" w:hint="cs"/>
          <w:noProof w:val="0"/>
          <w:rtl/>
        </w:rPr>
        <w:t xml:space="preserve"> ובכך שגה, שכן בהחלטה נקבע עיכוב כלל הליכי הוצל"פ מכל סוג והרשם כבול בצו ואין לו סמכות לשנות ממנו</w:t>
      </w:r>
      <w:r w:rsidR="00A00D8A">
        <w:rPr>
          <w:rFonts w:ascii="Arial" w:hAnsi="Arial" w:hint="cs"/>
          <w:noProof w:val="0"/>
          <w:rtl/>
        </w:rPr>
        <w:t xml:space="preserve">, גם לא להפעלת הליך "מקדמי", "חלקי", "צופה פני עתיד"; גם אם משמעות הגשת בקשה לשפעול הליכים לצורך המצאת הודעת פינוי למערערת </w:t>
      </w:r>
      <w:r w:rsidR="00FE54F0">
        <w:rPr>
          <w:rFonts w:ascii="Arial" w:hAnsi="Arial" w:hint="cs"/>
          <w:noProof w:val="0"/>
          <w:rtl/>
        </w:rPr>
        <w:t xml:space="preserve">רק </w:t>
      </w:r>
      <w:r w:rsidR="00A00D8A">
        <w:rPr>
          <w:rFonts w:ascii="Arial" w:hAnsi="Arial" w:hint="cs"/>
          <w:noProof w:val="0"/>
          <w:rtl/>
        </w:rPr>
        <w:t xml:space="preserve">ביום 8.8.24 משמעותה עיכוב הפינוי לתקופה נוספת </w:t>
      </w:r>
      <w:r w:rsidR="0064035B">
        <w:rPr>
          <w:rFonts w:ascii="Arial" w:hAnsi="Arial" w:hint="cs"/>
          <w:noProof w:val="0"/>
          <w:rtl/>
        </w:rPr>
        <w:t>ומתן</w:t>
      </w:r>
      <w:r w:rsidR="00FE54F0">
        <w:rPr>
          <w:rFonts w:ascii="Arial" w:hAnsi="Arial" w:hint="cs"/>
          <w:noProof w:val="0"/>
          <w:rtl/>
        </w:rPr>
        <w:t xml:space="preserve"> יתרון דיוני למערערת, אין בכך עילה לשפעול הליכים נגדה טרם פקיעת צו המניעה על פי ההחלטה מיום 22.5.24.</w:t>
      </w:r>
    </w:p>
    <w:p w:rsidR="009F764F" w:rsidRPr="009F764F" w:rsidRDefault="009F764F" w:rsidP="0064035B">
      <w:pPr>
        <w:pStyle w:val="ad"/>
        <w:spacing w:line="360" w:lineRule="auto"/>
        <w:jc w:val="both"/>
        <w:rPr>
          <w:rFonts w:ascii="Arial" w:hAnsi="Arial"/>
          <w:noProof w:val="0"/>
          <w:rtl/>
        </w:rPr>
      </w:pPr>
      <w:r>
        <w:rPr>
          <w:rFonts w:ascii="Arial" w:hAnsi="Arial" w:hint="cs"/>
          <w:b/>
          <w:bCs/>
          <w:noProof w:val="0"/>
          <w:rtl/>
        </w:rPr>
        <w:lastRenderedPageBreak/>
        <w:t>לטענת המשיב, בתמצית</w:t>
      </w:r>
      <w:r>
        <w:rPr>
          <w:rFonts w:ascii="Arial" w:hAnsi="Arial" w:hint="cs"/>
          <w:noProof w:val="0"/>
          <w:rtl/>
        </w:rPr>
        <w:t xml:space="preserve"> </w:t>
      </w:r>
      <w:r>
        <w:rPr>
          <w:rFonts w:ascii="Arial" w:hAnsi="Arial"/>
          <w:noProof w:val="0"/>
          <w:rtl/>
        </w:rPr>
        <w:t>–</w:t>
      </w:r>
      <w:r>
        <w:rPr>
          <w:rFonts w:ascii="Arial" w:hAnsi="Arial" w:hint="cs"/>
          <w:noProof w:val="0"/>
          <w:rtl/>
        </w:rPr>
        <w:t xml:space="preserve"> דין הערעור להדחות. הערעור הנו ניסיון נוסף </w:t>
      </w:r>
      <w:r w:rsidR="0064035B">
        <w:rPr>
          <w:rFonts w:ascii="Arial" w:hAnsi="Arial" w:hint="cs"/>
          <w:noProof w:val="0"/>
          <w:rtl/>
        </w:rPr>
        <w:t>מצד המערערת</w:t>
      </w:r>
      <w:r>
        <w:rPr>
          <w:rFonts w:ascii="Arial" w:hAnsi="Arial" w:hint="cs"/>
          <w:noProof w:val="0"/>
          <w:rtl/>
        </w:rPr>
        <w:t xml:space="preserve"> לעכב ולדחות הקץ של פינויה מהבית לצורך מכירתו לפרעון חובה כלפי המשיב על פי שטר משכנתא; המ</w:t>
      </w:r>
      <w:r w:rsidR="00DF3154">
        <w:rPr>
          <w:rFonts w:ascii="Arial" w:hAnsi="Arial" w:hint="cs"/>
          <w:noProof w:val="0"/>
          <w:rtl/>
        </w:rPr>
        <w:t xml:space="preserve">ערערת לא מציינת את סעיפים 2-3 בהחלטה </w:t>
      </w:r>
      <w:r w:rsidR="00FE54F0">
        <w:rPr>
          <w:rFonts w:ascii="Arial" w:hAnsi="Arial" w:hint="cs"/>
          <w:noProof w:val="0"/>
          <w:rtl/>
        </w:rPr>
        <w:t>התואמים את הקבוע בצו המניעה</w:t>
      </w:r>
      <w:r w:rsidR="00DF3154">
        <w:rPr>
          <w:rFonts w:ascii="Arial" w:hAnsi="Arial" w:hint="cs"/>
          <w:noProof w:val="0"/>
          <w:rtl/>
        </w:rPr>
        <w:t>; כיוון שעל פי הנהלים  בקשה למסירת הודעת פינוי יש להגיש 45 ימים בטרם מועד הפינוי הגיש כונס הנכסים בקשה לשפעול הליכים לצורך הגשת הודעת פינוי למועד שיחול מ-8.8.24; לא נפלה שגגה בהחלטת כב' הרשם המתירה הגשת הודעת פינוי לאחריה יושב עיכוב ההליכים על כנו, לביצוע החלטת בימ"ש; מדובר בעניין "טכני" ולא ב"הליך" ואין בכך הפרה של צו המניעה</w:t>
      </w:r>
      <w:r w:rsidR="00A00D8A">
        <w:rPr>
          <w:rFonts w:ascii="Arial" w:hAnsi="Arial" w:hint="cs"/>
          <w:noProof w:val="0"/>
          <w:rtl/>
        </w:rPr>
        <w:t>; משמעות קבלת בקשת המערער</w:t>
      </w:r>
      <w:r w:rsidR="00FE54F0">
        <w:rPr>
          <w:rFonts w:ascii="Arial" w:hAnsi="Arial" w:hint="cs"/>
          <w:noProof w:val="0"/>
          <w:rtl/>
        </w:rPr>
        <w:t>ת</w:t>
      </w:r>
      <w:r w:rsidR="00A00D8A">
        <w:rPr>
          <w:rFonts w:ascii="Arial" w:hAnsi="Arial" w:hint="cs"/>
          <w:noProof w:val="0"/>
          <w:rtl/>
        </w:rPr>
        <w:t xml:space="preserve"> היא שמשנה מהחלטת בימ"ש, שכן הגשת בקשה </w:t>
      </w:r>
      <w:r w:rsidR="00FE54F0">
        <w:rPr>
          <w:rFonts w:ascii="Arial" w:hAnsi="Arial" w:hint="cs"/>
          <w:noProof w:val="0"/>
          <w:rtl/>
        </w:rPr>
        <w:t xml:space="preserve">למשלוח </w:t>
      </w:r>
      <w:r w:rsidR="00A00D8A">
        <w:rPr>
          <w:rFonts w:ascii="Arial" w:hAnsi="Arial" w:hint="cs"/>
          <w:noProof w:val="0"/>
          <w:rtl/>
        </w:rPr>
        <w:t xml:space="preserve">הודעת פינוי ביום 8.8.24 כפי שטוענת משמעותה דחיית מועד הפינוי ב-45 ימים נוספים ומעבר לכך לנוכח החגים, היינו </w:t>
      </w:r>
      <w:r w:rsidR="00A00D8A">
        <w:rPr>
          <w:rFonts w:ascii="Arial" w:hAnsi="Arial"/>
          <w:noProof w:val="0"/>
          <w:rtl/>
        </w:rPr>
        <w:t>–</w:t>
      </w:r>
      <w:r w:rsidR="00A00D8A">
        <w:rPr>
          <w:rFonts w:ascii="Arial" w:hAnsi="Arial" w:hint="cs"/>
          <w:noProof w:val="0"/>
          <w:rtl/>
        </w:rPr>
        <w:t xml:space="preserve"> לחודש 10-11/2024. לא לכך כיוון בימ"ש.</w:t>
      </w:r>
    </w:p>
    <w:p w:rsidR="007A6319" w:rsidRDefault="007A6319" w:rsidP="000F0E01">
      <w:pPr>
        <w:pStyle w:val="ad"/>
        <w:spacing w:line="360" w:lineRule="auto"/>
        <w:jc w:val="both"/>
        <w:rPr>
          <w:rFonts w:ascii="Arial" w:hAnsi="Arial"/>
          <w:b/>
          <w:bCs/>
          <w:noProof w:val="0"/>
          <w:rtl/>
        </w:rPr>
      </w:pPr>
    </w:p>
    <w:p w:rsidR="00AD16D2" w:rsidRDefault="008B2EB5" w:rsidP="0064035B">
      <w:pPr>
        <w:pStyle w:val="ad"/>
        <w:spacing w:line="360" w:lineRule="auto"/>
        <w:jc w:val="both"/>
        <w:rPr>
          <w:rFonts w:ascii="Arial" w:hAnsi="Arial"/>
          <w:noProof w:val="0"/>
          <w:rtl/>
        </w:rPr>
      </w:pPr>
      <w:r>
        <w:rPr>
          <w:rFonts w:ascii="Arial" w:hAnsi="Arial" w:hint="cs"/>
          <w:b/>
          <w:bCs/>
          <w:noProof w:val="0"/>
          <w:rtl/>
        </w:rPr>
        <w:t xml:space="preserve">בתשובת המערערת לתגובת המשיב הוסיפה, </w:t>
      </w:r>
      <w:r w:rsidR="00AD16D2">
        <w:rPr>
          <w:rFonts w:ascii="Arial" w:hAnsi="Arial" w:hint="cs"/>
          <w:noProof w:val="0"/>
          <w:rtl/>
        </w:rPr>
        <w:t>כי הגישה הצעה לפרעון החוב במסגרת בקשה בתיק קשור</w:t>
      </w:r>
      <w:r w:rsidR="002758F4">
        <w:rPr>
          <w:rFonts w:ascii="Arial" w:hAnsi="Arial" w:hint="cs"/>
          <w:noProof w:val="0"/>
          <w:rtl/>
        </w:rPr>
        <w:t xml:space="preserve"> מיום 29.7.24</w:t>
      </w:r>
      <w:r w:rsidR="00AD16D2">
        <w:rPr>
          <w:rFonts w:ascii="Arial" w:hAnsi="Arial" w:hint="cs"/>
          <w:noProof w:val="0"/>
          <w:rtl/>
        </w:rPr>
        <w:t xml:space="preserve"> וכן בקשה שהוגשה על ידה בתיק ההוצל"פ ביום 29.7.24 לתשלום החוב</w:t>
      </w:r>
      <w:r w:rsidR="002758F4">
        <w:rPr>
          <w:rFonts w:ascii="Arial" w:hAnsi="Arial" w:hint="cs"/>
          <w:noProof w:val="0"/>
          <w:rtl/>
        </w:rPr>
        <w:t>,</w:t>
      </w:r>
      <w:r w:rsidR="00AD16D2">
        <w:rPr>
          <w:rFonts w:ascii="Arial" w:hAnsi="Arial" w:hint="cs"/>
          <w:noProof w:val="0"/>
          <w:rtl/>
        </w:rPr>
        <w:t xml:space="preserve"> והמשיב מסכל הפרעון; מתייחס</w:t>
      </w:r>
      <w:r w:rsidR="002758F4">
        <w:rPr>
          <w:rFonts w:ascii="Arial" w:hAnsi="Arial" w:hint="cs"/>
          <w:noProof w:val="0"/>
          <w:rtl/>
        </w:rPr>
        <w:t>ת</w:t>
      </w:r>
      <w:r w:rsidR="00AD16D2">
        <w:rPr>
          <w:rFonts w:ascii="Arial" w:hAnsi="Arial" w:hint="cs"/>
          <w:noProof w:val="0"/>
          <w:rtl/>
        </w:rPr>
        <w:t xml:space="preserve"> לזמן הקצר שנותר לה לפינוי בטווח בין 8.8.24 ל-15.8.24; תיקון ושינוי החלטת בימ"ש על ידי כב' הרשם עתה, ימים ספורים טרם הפינוי יגרום לה נזק בלתי הפיך כאשר יש בידה כיום לשלם החוב; מאזן הנוחות פועל לטובתה שכם אין כיום קונה לבית.</w:t>
      </w:r>
    </w:p>
    <w:p w:rsidR="008B2EB5" w:rsidRPr="00AD16D2" w:rsidRDefault="008B2EB5" w:rsidP="000F0E01">
      <w:pPr>
        <w:pStyle w:val="ad"/>
        <w:spacing w:line="360" w:lineRule="auto"/>
        <w:jc w:val="both"/>
        <w:rPr>
          <w:rFonts w:ascii="Arial" w:hAnsi="Arial"/>
          <w:noProof w:val="0"/>
          <w:rtl/>
        </w:rPr>
      </w:pPr>
    </w:p>
    <w:p w:rsidR="007A6319" w:rsidRDefault="00AD16D2" w:rsidP="007A6319">
      <w:pPr>
        <w:pStyle w:val="ad"/>
        <w:numPr>
          <w:ilvl w:val="0"/>
          <w:numId w:val="1"/>
        </w:numPr>
        <w:spacing w:line="360" w:lineRule="auto"/>
        <w:jc w:val="both"/>
        <w:rPr>
          <w:rFonts w:ascii="Arial" w:hAnsi="Arial"/>
          <w:noProof w:val="0"/>
        </w:rPr>
      </w:pPr>
      <w:r>
        <w:rPr>
          <w:rFonts w:ascii="Arial" w:hAnsi="Arial" w:hint="cs"/>
          <w:noProof w:val="0"/>
          <w:rtl/>
        </w:rPr>
        <w:t>לאחר שנדרשתי לבקשה והתגובות, אני מוצאת לדחות הערעור.</w:t>
      </w:r>
    </w:p>
    <w:p w:rsidR="00AD16D2" w:rsidRDefault="00AD16D2" w:rsidP="0064035B">
      <w:pPr>
        <w:pStyle w:val="ad"/>
        <w:spacing w:line="360" w:lineRule="auto"/>
        <w:jc w:val="both"/>
        <w:rPr>
          <w:rFonts w:ascii="Arial" w:hAnsi="Arial"/>
          <w:noProof w:val="0"/>
        </w:rPr>
      </w:pPr>
      <w:r>
        <w:rPr>
          <w:rFonts w:ascii="Arial" w:hAnsi="Arial" w:hint="cs"/>
          <w:noProof w:val="0"/>
          <w:rtl/>
        </w:rPr>
        <w:t>לא מצאתי כי נפלה שגגה בהחלטת כב' הרשם נשוא הערעור</w:t>
      </w:r>
      <w:r w:rsidR="002758F4">
        <w:rPr>
          <w:rFonts w:ascii="Arial" w:hAnsi="Arial" w:hint="cs"/>
          <w:noProof w:val="0"/>
          <w:rtl/>
        </w:rPr>
        <w:t xml:space="preserve"> מיום 29.6.24 </w:t>
      </w:r>
      <w:r w:rsidR="0064035B">
        <w:rPr>
          <w:rFonts w:ascii="Arial" w:hAnsi="Arial" w:hint="cs"/>
          <w:noProof w:val="0"/>
          <w:rtl/>
        </w:rPr>
        <w:t>ובנימוקיו</w:t>
      </w:r>
      <w:r w:rsidR="002758F4">
        <w:rPr>
          <w:rFonts w:ascii="Arial" w:hAnsi="Arial" w:hint="cs"/>
          <w:noProof w:val="0"/>
          <w:rtl/>
        </w:rPr>
        <w:t xml:space="preserve"> מיום 30.6.24.</w:t>
      </w:r>
    </w:p>
    <w:p w:rsidR="00AD16D2" w:rsidRDefault="00AD16D2" w:rsidP="00AD16D2">
      <w:pPr>
        <w:pStyle w:val="ad"/>
        <w:spacing w:line="360" w:lineRule="auto"/>
        <w:jc w:val="both"/>
        <w:rPr>
          <w:rFonts w:ascii="Arial" w:hAnsi="Arial"/>
          <w:noProof w:val="0"/>
        </w:rPr>
      </w:pPr>
    </w:p>
    <w:p w:rsidR="00AD16D2" w:rsidRDefault="00AD16D2" w:rsidP="00AD16D2">
      <w:pPr>
        <w:pStyle w:val="ad"/>
        <w:numPr>
          <w:ilvl w:val="0"/>
          <w:numId w:val="1"/>
        </w:numPr>
        <w:spacing w:line="360" w:lineRule="auto"/>
        <w:jc w:val="both"/>
        <w:rPr>
          <w:rFonts w:ascii="Arial" w:hAnsi="Arial"/>
          <w:noProof w:val="0"/>
        </w:rPr>
      </w:pPr>
      <w:r>
        <w:rPr>
          <w:rFonts w:ascii="Arial" w:hAnsi="Arial" w:hint="cs"/>
          <w:noProof w:val="0"/>
          <w:rtl/>
        </w:rPr>
        <w:t>החלטת בימ"ש מיום 22.5.24 מפורטת ומנומקת ובסופה נקבע:</w:t>
      </w:r>
    </w:p>
    <w:p w:rsidR="00AD16D2" w:rsidRPr="00AD16D2" w:rsidRDefault="00AD16D2" w:rsidP="00AD16D2">
      <w:pPr>
        <w:tabs>
          <w:tab w:val="left" w:pos="509"/>
          <w:tab w:val="left" w:pos="1134"/>
        </w:tabs>
        <w:ind w:left="1134" w:right="567"/>
        <w:jc w:val="both"/>
        <w:rPr>
          <w:rFonts w:ascii="Arial" w:hAnsi="Arial"/>
          <w:b/>
          <w:bCs/>
          <w:noProof w:val="0"/>
        </w:rPr>
      </w:pPr>
      <w:r w:rsidRPr="00AD16D2">
        <w:rPr>
          <w:rFonts w:ascii="Arial" w:hAnsi="Arial"/>
          <w:b/>
          <w:bCs/>
          <w:noProof w:val="0"/>
          <w:rtl/>
        </w:rPr>
        <w:t>צו המניעה הארעי שניתן ביום 21.3.24 יוותר כצו מניעה זמני  למשך 75 ימים נוספים מהיום, על מנת לאפשר למבקשת לפרוע את מלוא החוב על יסוד ההסכם הראשון והמשכנתא הראשונה. קיימת מחלוקת בין הצדדים בנוגע לסכומי פתיחת תיק ההוצל"פ וגובה החוב בתיק, זאת יוכרע על ידי כב' רשם ההוצל"פ וטענות הצדדים בעניין שמורות להם שם.</w:t>
      </w:r>
    </w:p>
    <w:p w:rsidR="00AD16D2" w:rsidRPr="00AD16D2" w:rsidRDefault="00AD16D2" w:rsidP="00AD16D2">
      <w:pPr>
        <w:tabs>
          <w:tab w:val="left" w:pos="509"/>
          <w:tab w:val="left" w:pos="1134"/>
        </w:tabs>
        <w:ind w:left="1134" w:right="567"/>
        <w:jc w:val="both"/>
        <w:rPr>
          <w:rFonts w:ascii="Arial" w:hAnsi="Arial"/>
          <w:b/>
          <w:bCs/>
          <w:noProof w:val="0"/>
          <w:rtl/>
        </w:rPr>
      </w:pPr>
      <w:r w:rsidRPr="00AD16D2">
        <w:rPr>
          <w:rFonts w:ascii="Arial" w:hAnsi="Arial"/>
          <w:b/>
          <w:bCs/>
          <w:noProof w:val="0"/>
          <w:rtl/>
        </w:rPr>
        <w:t>כפוף לפירעון מלוא החוב יוותר צו המניעה הזמני על כנו עד להכרעה בתביעה העיקרית.</w:t>
      </w:r>
    </w:p>
    <w:p w:rsidR="00AD16D2" w:rsidRPr="00AD16D2" w:rsidRDefault="00AD16D2" w:rsidP="00AD16D2">
      <w:pPr>
        <w:tabs>
          <w:tab w:val="left" w:pos="509"/>
          <w:tab w:val="left" w:pos="1134"/>
        </w:tabs>
        <w:ind w:right="567"/>
        <w:jc w:val="both"/>
        <w:rPr>
          <w:rFonts w:ascii="Arial" w:hAnsi="Arial"/>
          <w:b/>
          <w:bCs/>
          <w:noProof w:val="0"/>
          <w:rtl/>
        </w:rPr>
      </w:pPr>
      <w:r>
        <w:rPr>
          <w:rFonts w:ascii="Arial" w:hAnsi="Arial"/>
          <w:b/>
          <w:bCs/>
          <w:noProof w:val="0"/>
          <w:rtl/>
        </w:rPr>
        <w:tab/>
      </w:r>
      <w:r w:rsidRPr="00AD16D2">
        <w:rPr>
          <w:rFonts w:ascii="Arial" w:hAnsi="Arial"/>
          <w:b/>
          <w:bCs/>
          <w:noProof w:val="0"/>
          <w:rtl/>
        </w:rPr>
        <w:tab/>
        <w:t>ככל שלא ייפרע החוב כאמור יבוטל צו המניעה החל מיום 7.8.24.</w:t>
      </w:r>
    </w:p>
    <w:p w:rsidR="00AD16D2" w:rsidRPr="00AD16D2" w:rsidRDefault="00AD16D2" w:rsidP="00AD16D2">
      <w:pPr>
        <w:tabs>
          <w:tab w:val="left" w:pos="509"/>
          <w:tab w:val="left" w:pos="1134"/>
        </w:tabs>
        <w:ind w:left="1134" w:right="567"/>
        <w:jc w:val="both"/>
        <w:rPr>
          <w:rFonts w:ascii="Arial" w:hAnsi="Arial"/>
          <w:b/>
          <w:bCs/>
          <w:noProof w:val="0"/>
          <w:rtl/>
        </w:rPr>
      </w:pPr>
      <w:r w:rsidRPr="00AD16D2">
        <w:rPr>
          <w:rFonts w:ascii="Arial" w:hAnsi="Arial"/>
          <w:b/>
          <w:bCs/>
          <w:noProof w:val="0"/>
          <w:rtl/>
        </w:rPr>
        <w:t>ככל שימכר הנכס במסגרת הליך ההוצל"פ כאמור, יתרת תמורת המכר לאחר פירעון מלוא החוב לפי ההסכם הראשון והמשכנתא לידי המשיב וכן הוצאות המכירה וכינוס הנכסים - תיוותר בתיק ההוצל"פ עד להכרעה בתביעה העיקרית.</w:t>
      </w:r>
    </w:p>
    <w:p w:rsidR="00AD16D2" w:rsidRDefault="00AD16D2" w:rsidP="00AD16D2">
      <w:pPr>
        <w:tabs>
          <w:tab w:val="left" w:pos="509"/>
          <w:tab w:val="left" w:pos="1134"/>
        </w:tabs>
        <w:ind w:left="1134" w:right="567"/>
        <w:jc w:val="both"/>
        <w:rPr>
          <w:rFonts w:ascii="Arial" w:hAnsi="Arial"/>
          <w:b/>
          <w:bCs/>
          <w:noProof w:val="0"/>
          <w:rtl/>
        </w:rPr>
      </w:pPr>
      <w:r w:rsidRPr="00AD16D2">
        <w:rPr>
          <w:rFonts w:ascii="Arial" w:hAnsi="Arial"/>
          <w:b/>
          <w:bCs/>
          <w:noProof w:val="0"/>
          <w:rtl/>
        </w:rPr>
        <w:t xml:space="preserve">סידור חלוף במקרה של מכירת הנכס – בהתאם לקבוע בהחלטת כב' הרשם מיום </w:t>
      </w:r>
      <w:r>
        <w:rPr>
          <w:rFonts w:ascii="Arial" w:hAnsi="Arial"/>
          <w:b/>
          <w:bCs/>
          <w:noProof w:val="0"/>
          <w:rtl/>
        </w:rPr>
        <w:t>1.9.23</w:t>
      </w:r>
      <w:r>
        <w:rPr>
          <w:rFonts w:ascii="Arial" w:hAnsi="Arial" w:hint="cs"/>
          <w:b/>
          <w:bCs/>
          <w:noProof w:val="0"/>
          <w:rtl/>
        </w:rPr>
        <w:t>".</w:t>
      </w:r>
    </w:p>
    <w:p w:rsidR="00AD16D2" w:rsidRDefault="00AD16D2" w:rsidP="00AD16D2">
      <w:pPr>
        <w:tabs>
          <w:tab w:val="left" w:pos="509"/>
          <w:tab w:val="left" w:pos="1134"/>
        </w:tabs>
        <w:ind w:right="567"/>
        <w:jc w:val="both"/>
        <w:rPr>
          <w:rFonts w:ascii="Arial" w:hAnsi="Arial"/>
          <w:b/>
          <w:bCs/>
          <w:noProof w:val="0"/>
          <w:rtl/>
        </w:rPr>
      </w:pPr>
    </w:p>
    <w:p w:rsidR="0064035B" w:rsidRPr="0064035B" w:rsidRDefault="0064035B" w:rsidP="0064035B">
      <w:pPr>
        <w:tabs>
          <w:tab w:val="left" w:pos="708"/>
          <w:tab w:val="left" w:pos="1134"/>
        </w:tabs>
        <w:spacing w:line="360" w:lineRule="auto"/>
        <w:ind w:left="708"/>
        <w:jc w:val="both"/>
        <w:rPr>
          <w:rFonts w:ascii="Arial" w:hAnsi="Arial"/>
          <w:noProof w:val="0"/>
          <w:rtl/>
        </w:rPr>
      </w:pPr>
      <w:r w:rsidRPr="0064035B">
        <w:rPr>
          <w:rFonts w:ascii="Arial" w:hAnsi="Arial" w:hint="cs"/>
          <w:noProof w:val="0"/>
          <w:rtl/>
        </w:rPr>
        <w:t>בקשת רשות ערעור</w:t>
      </w:r>
      <w:r>
        <w:rPr>
          <w:rFonts w:ascii="Arial" w:hAnsi="Arial" w:hint="cs"/>
          <w:noProof w:val="0"/>
          <w:rtl/>
        </w:rPr>
        <w:t xml:space="preserve"> שהגישה המערערת על ההחלטה נדחתה בפסק דין מיום 11.7.24 (רמ"ש 49910-06-24).</w:t>
      </w:r>
    </w:p>
    <w:p w:rsidR="00AD16D2" w:rsidRDefault="00AD16D2" w:rsidP="00AD16D2">
      <w:pPr>
        <w:tabs>
          <w:tab w:val="left" w:pos="509"/>
          <w:tab w:val="left" w:pos="1134"/>
        </w:tabs>
        <w:spacing w:line="360" w:lineRule="auto"/>
        <w:ind w:left="720"/>
        <w:jc w:val="both"/>
        <w:rPr>
          <w:rFonts w:ascii="Arial" w:hAnsi="Arial"/>
          <w:b/>
          <w:bCs/>
          <w:noProof w:val="0"/>
          <w:rtl/>
        </w:rPr>
      </w:pPr>
      <w:r w:rsidRPr="00AD16D2">
        <w:rPr>
          <w:rFonts w:ascii="Arial" w:hAnsi="Arial" w:hint="cs"/>
          <w:b/>
          <w:bCs/>
          <w:noProof w:val="0"/>
          <w:u w:val="single"/>
          <w:rtl/>
        </w:rPr>
        <w:lastRenderedPageBreak/>
        <w:t>במועד מתן הצו הארעי ביום 21.3.24, היה תלוי ועומד הליך פינוי נגד המשיבה, אשר נקבע ליום 27.3.24</w:t>
      </w:r>
      <w:r w:rsidR="002758F4">
        <w:rPr>
          <w:rFonts w:ascii="Arial" w:hAnsi="Arial" w:hint="cs"/>
          <w:b/>
          <w:bCs/>
          <w:noProof w:val="0"/>
          <w:rtl/>
        </w:rPr>
        <w:t xml:space="preserve"> </w:t>
      </w:r>
      <w:r w:rsidR="002758F4" w:rsidRPr="002758F4">
        <w:rPr>
          <w:rFonts w:ascii="Arial" w:hAnsi="Arial" w:hint="cs"/>
          <w:noProof w:val="0"/>
          <w:rtl/>
        </w:rPr>
        <w:t>(לאחר שנדחה מיום 22.3.24)</w:t>
      </w:r>
      <w:r w:rsidRPr="00AD16D2">
        <w:rPr>
          <w:rFonts w:ascii="Arial" w:hAnsi="Arial" w:hint="cs"/>
          <w:b/>
          <w:bCs/>
          <w:noProof w:val="0"/>
          <w:rtl/>
        </w:rPr>
        <w:t>.</w:t>
      </w:r>
    </w:p>
    <w:p w:rsidR="00AD16D2" w:rsidRDefault="00AD16D2" w:rsidP="00254DD3">
      <w:pPr>
        <w:tabs>
          <w:tab w:val="left" w:pos="509"/>
          <w:tab w:val="left" w:pos="1134"/>
        </w:tabs>
        <w:spacing w:line="360" w:lineRule="auto"/>
        <w:ind w:left="720"/>
        <w:jc w:val="both"/>
        <w:rPr>
          <w:rFonts w:ascii="Arial" w:hAnsi="Arial"/>
          <w:noProof w:val="0"/>
          <w:rtl/>
        </w:rPr>
      </w:pPr>
      <w:r>
        <w:rPr>
          <w:rFonts w:ascii="Arial" w:hAnsi="Arial" w:hint="cs"/>
          <w:noProof w:val="0"/>
          <w:rtl/>
        </w:rPr>
        <w:t>הליך הפינוי לא בוטל. על פי לשונה הפשוטה של ההחלטה, בתום תקופת עיכוב ההליכים (7.8.24), ככל שהמערערת לא תפרע את מלוא החוב על יסוד ההסכם הראשון והמשכנתא הראשונה כהגדרתם בהחלטה, יבוטל צו עיכוב ההליכים ובכלל זה צו לעיכוב ביצוע פינוי המערערת מהנכס</w:t>
      </w:r>
      <w:r w:rsidR="00254DD3">
        <w:rPr>
          <w:rFonts w:ascii="Arial" w:hAnsi="Arial" w:hint="cs"/>
          <w:noProof w:val="0"/>
          <w:rtl/>
        </w:rPr>
        <w:t>. זה י</w:t>
      </w:r>
      <w:r>
        <w:rPr>
          <w:rFonts w:ascii="Arial" w:hAnsi="Arial" w:hint="cs"/>
          <w:noProof w:val="0"/>
          <w:rtl/>
        </w:rPr>
        <w:t>עמוד בעינו (</w:t>
      </w:r>
      <w:r w:rsidR="00254DD3">
        <w:rPr>
          <w:rFonts w:ascii="Arial" w:hAnsi="Arial" w:hint="cs"/>
          <w:noProof w:val="0"/>
          <w:rtl/>
        </w:rPr>
        <w:t xml:space="preserve">השוו </w:t>
      </w:r>
      <w:r>
        <w:rPr>
          <w:rFonts w:ascii="Arial" w:hAnsi="Arial" w:hint="cs"/>
          <w:noProof w:val="0"/>
          <w:rtl/>
        </w:rPr>
        <w:t>לשון סעיף 17(ג) ל</w:t>
      </w:r>
      <w:r w:rsidRPr="00AD16D2">
        <w:rPr>
          <w:rFonts w:ascii="Arial" w:hAnsi="Arial" w:hint="cs"/>
          <w:noProof w:val="0"/>
          <w:u w:val="single"/>
          <w:rtl/>
        </w:rPr>
        <w:t>חוק ההוצאה לפועל</w:t>
      </w:r>
      <w:r>
        <w:rPr>
          <w:rFonts w:ascii="Arial" w:hAnsi="Arial" w:hint="cs"/>
          <w:noProof w:val="0"/>
          <w:rtl/>
        </w:rPr>
        <w:t>).</w:t>
      </w:r>
    </w:p>
    <w:p w:rsidR="00AD16D2" w:rsidRDefault="00AD16D2" w:rsidP="00254DD3">
      <w:pPr>
        <w:tabs>
          <w:tab w:val="left" w:pos="509"/>
          <w:tab w:val="left" w:pos="1134"/>
        </w:tabs>
        <w:spacing w:line="360" w:lineRule="auto"/>
        <w:ind w:left="720"/>
        <w:jc w:val="both"/>
        <w:rPr>
          <w:rFonts w:ascii="Arial" w:hAnsi="Arial"/>
          <w:noProof w:val="0"/>
          <w:rtl/>
        </w:rPr>
      </w:pPr>
      <w:r>
        <w:rPr>
          <w:rFonts w:ascii="Arial" w:hAnsi="Arial" w:hint="cs"/>
          <w:noProof w:val="0"/>
          <w:rtl/>
        </w:rPr>
        <w:t xml:space="preserve">במסגרת ההחלטה מיום 22.5.24 ניתנה למערערת הזדמנות לפרוע החוב בתיק ההוצל"פ לתקופה קצובה, לאחר איזון </w:t>
      </w:r>
      <w:r w:rsidR="002758F4">
        <w:rPr>
          <w:rFonts w:ascii="Arial" w:hAnsi="Arial" w:hint="cs"/>
          <w:noProof w:val="0"/>
          <w:rtl/>
        </w:rPr>
        <w:t xml:space="preserve">בין </w:t>
      </w:r>
      <w:r>
        <w:rPr>
          <w:rFonts w:ascii="Arial" w:hAnsi="Arial" w:hint="cs"/>
          <w:noProof w:val="0"/>
          <w:rtl/>
        </w:rPr>
        <w:t>האינטרסים של שני הצדדים</w:t>
      </w:r>
      <w:r w:rsidR="00254DD3">
        <w:rPr>
          <w:rFonts w:ascii="Arial" w:hAnsi="Arial" w:hint="cs"/>
          <w:noProof w:val="0"/>
          <w:rtl/>
        </w:rPr>
        <w:t>,</w:t>
      </w:r>
      <w:r>
        <w:rPr>
          <w:rFonts w:ascii="Arial" w:hAnsi="Arial" w:hint="cs"/>
          <w:noProof w:val="0"/>
          <w:rtl/>
        </w:rPr>
        <w:t xml:space="preserve"> כמנומק בהחלטה. ככל שלא תעשה כן, ישוב המצב לקדמותו כפי שהיה </w:t>
      </w:r>
      <w:r w:rsidR="00254DD3">
        <w:rPr>
          <w:rFonts w:ascii="Arial" w:hAnsi="Arial" w:hint="cs"/>
          <w:noProof w:val="0"/>
          <w:rtl/>
        </w:rPr>
        <w:t>במו</w:t>
      </w:r>
      <w:r>
        <w:rPr>
          <w:rFonts w:ascii="Arial" w:hAnsi="Arial" w:hint="cs"/>
          <w:noProof w:val="0"/>
          <w:rtl/>
        </w:rPr>
        <w:t>עד מתן ההחלטה מיום 21.3.24.</w:t>
      </w:r>
    </w:p>
    <w:p w:rsidR="002758F4" w:rsidRDefault="002758F4" w:rsidP="00AD16D2">
      <w:pPr>
        <w:tabs>
          <w:tab w:val="left" w:pos="509"/>
          <w:tab w:val="left" w:pos="1134"/>
        </w:tabs>
        <w:spacing w:line="360" w:lineRule="auto"/>
        <w:ind w:left="720"/>
        <w:jc w:val="both"/>
        <w:rPr>
          <w:rFonts w:ascii="Arial" w:hAnsi="Arial"/>
          <w:noProof w:val="0"/>
          <w:rtl/>
        </w:rPr>
      </w:pPr>
    </w:p>
    <w:p w:rsidR="002758F4" w:rsidRDefault="00AD16D2" w:rsidP="00254DD3">
      <w:pPr>
        <w:pStyle w:val="ad"/>
        <w:numPr>
          <w:ilvl w:val="0"/>
          <w:numId w:val="1"/>
        </w:numPr>
        <w:tabs>
          <w:tab w:val="left" w:pos="1134"/>
        </w:tabs>
        <w:spacing w:line="360" w:lineRule="auto"/>
        <w:jc w:val="both"/>
        <w:rPr>
          <w:rFonts w:ascii="Arial" w:hAnsi="Arial"/>
          <w:noProof w:val="0"/>
        </w:rPr>
      </w:pPr>
      <w:r>
        <w:rPr>
          <w:rFonts w:ascii="Arial" w:hAnsi="Arial" w:hint="cs"/>
          <w:noProof w:val="0"/>
          <w:rtl/>
        </w:rPr>
        <w:t xml:space="preserve">כב' הרשם, בצדק, </w:t>
      </w:r>
      <w:r w:rsidR="002758F4">
        <w:rPr>
          <w:rFonts w:ascii="Arial" w:hAnsi="Arial" w:hint="cs"/>
          <w:noProof w:val="0"/>
          <w:rtl/>
        </w:rPr>
        <w:t xml:space="preserve">לנוכח מהות העניין, </w:t>
      </w:r>
      <w:r w:rsidR="00254DD3">
        <w:rPr>
          <w:rFonts w:ascii="Arial" w:hAnsi="Arial" w:hint="cs"/>
          <w:noProof w:val="0"/>
          <w:rtl/>
        </w:rPr>
        <w:t xml:space="preserve">הורה למזכירות להנפיק הודעת פינוי למערערת ליום 15.8.24, </w:t>
      </w:r>
      <w:r>
        <w:rPr>
          <w:rFonts w:ascii="Arial" w:hAnsi="Arial" w:hint="cs"/>
          <w:noProof w:val="0"/>
          <w:rtl/>
        </w:rPr>
        <w:t xml:space="preserve">מסירתה למערערת ועיכוב הליכים עד תום מועד פקיעת הצו הזמני, </w:t>
      </w:r>
      <w:r w:rsidRPr="002758F4">
        <w:rPr>
          <w:rFonts w:ascii="Arial" w:hAnsi="Arial" w:hint="cs"/>
          <w:b/>
          <w:bCs/>
          <w:noProof w:val="0"/>
          <w:u w:val="single"/>
          <w:rtl/>
        </w:rPr>
        <w:t>מבלי שיונפק צו פינוי אלא לאחר חלוף המועד לעיכוב הליכים</w:t>
      </w:r>
      <w:r>
        <w:rPr>
          <w:rFonts w:ascii="Arial" w:hAnsi="Arial" w:hint="cs"/>
          <w:noProof w:val="0"/>
          <w:rtl/>
        </w:rPr>
        <w:t xml:space="preserve">. </w:t>
      </w:r>
    </w:p>
    <w:p w:rsidR="00254DD3" w:rsidRDefault="00254DD3" w:rsidP="00254DD3">
      <w:pPr>
        <w:pStyle w:val="ad"/>
        <w:tabs>
          <w:tab w:val="left" w:pos="1134"/>
        </w:tabs>
        <w:spacing w:line="360" w:lineRule="auto"/>
        <w:jc w:val="both"/>
        <w:rPr>
          <w:rFonts w:ascii="Arial" w:hAnsi="Arial"/>
          <w:noProof w:val="0"/>
        </w:rPr>
      </w:pPr>
      <w:r>
        <w:rPr>
          <w:rFonts w:ascii="Arial" w:hAnsi="Arial" w:hint="cs"/>
          <w:noProof w:val="0"/>
          <w:rtl/>
        </w:rPr>
        <w:t>מדובר בהחלטה טכנית, מנהלית.</w:t>
      </w:r>
    </w:p>
    <w:p w:rsidR="00AD16D2" w:rsidRDefault="00AD16D2" w:rsidP="002758F4">
      <w:pPr>
        <w:pStyle w:val="ad"/>
        <w:tabs>
          <w:tab w:val="left" w:pos="1134"/>
        </w:tabs>
        <w:spacing w:line="360" w:lineRule="auto"/>
        <w:jc w:val="both"/>
        <w:rPr>
          <w:rFonts w:ascii="Arial" w:hAnsi="Arial"/>
          <w:noProof w:val="0"/>
        </w:rPr>
      </w:pPr>
      <w:r>
        <w:rPr>
          <w:rFonts w:ascii="Arial" w:hAnsi="Arial" w:hint="cs"/>
          <w:noProof w:val="0"/>
          <w:rtl/>
        </w:rPr>
        <w:t xml:space="preserve">כב' הרשם הורה לכונס הנכסים להודיע אם בוצע התשלום על פי ההחלטה עד 8.8.24, ככל שכן קבע כי לא יונפק צו פינוי ויימשך עיכוב ההליכים, ככל שלא </w:t>
      </w:r>
      <w:r>
        <w:rPr>
          <w:rFonts w:ascii="Arial" w:hAnsi="Arial"/>
          <w:noProof w:val="0"/>
          <w:rtl/>
        </w:rPr>
        <w:t>–</w:t>
      </w:r>
      <w:r>
        <w:rPr>
          <w:rFonts w:ascii="Arial" w:hAnsi="Arial" w:hint="cs"/>
          <w:noProof w:val="0"/>
          <w:rtl/>
        </w:rPr>
        <w:t xml:space="preserve"> הורה לכונס הנכסים להגיש בקשה להנפקת צו פינוי.</w:t>
      </w:r>
    </w:p>
    <w:p w:rsidR="00AD16D2" w:rsidRDefault="00AD16D2" w:rsidP="00AD16D2">
      <w:pPr>
        <w:pStyle w:val="ad"/>
        <w:tabs>
          <w:tab w:val="left" w:pos="1134"/>
        </w:tabs>
        <w:spacing w:line="360" w:lineRule="auto"/>
        <w:jc w:val="both"/>
        <w:rPr>
          <w:rFonts w:ascii="Arial" w:hAnsi="Arial"/>
          <w:noProof w:val="0"/>
        </w:rPr>
      </w:pPr>
    </w:p>
    <w:p w:rsidR="00AD16D2" w:rsidRDefault="00AD16D2" w:rsidP="00254DD3">
      <w:pPr>
        <w:pStyle w:val="ad"/>
        <w:numPr>
          <w:ilvl w:val="0"/>
          <w:numId w:val="1"/>
        </w:numPr>
        <w:tabs>
          <w:tab w:val="left" w:pos="1134"/>
        </w:tabs>
        <w:spacing w:line="360" w:lineRule="auto"/>
        <w:jc w:val="both"/>
        <w:rPr>
          <w:rFonts w:ascii="Arial" w:hAnsi="Arial"/>
          <w:noProof w:val="0"/>
        </w:rPr>
      </w:pPr>
      <w:r>
        <w:rPr>
          <w:rFonts w:ascii="Arial" w:hAnsi="Arial" w:hint="cs"/>
          <w:noProof w:val="0"/>
          <w:rtl/>
        </w:rPr>
        <w:t>משמעות קבלת הערעור בפועל הנה, כי ככל שהמערערת לא תפרע את החוב על פי ההחלטה, הלי</w:t>
      </w:r>
      <w:r w:rsidR="00254DD3">
        <w:rPr>
          <w:rFonts w:ascii="Arial" w:hAnsi="Arial" w:hint="cs"/>
          <w:noProof w:val="0"/>
          <w:rtl/>
        </w:rPr>
        <w:t>ך ה</w:t>
      </w:r>
      <w:r>
        <w:rPr>
          <w:rFonts w:ascii="Arial" w:hAnsi="Arial" w:hint="cs"/>
          <w:noProof w:val="0"/>
          <w:rtl/>
        </w:rPr>
        <w:t xml:space="preserve">פינוי יעוכבו </w:t>
      </w:r>
      <w:r w:rsidR="002758F4">
        <w:rPr>
          <w:rFonts w:ascii="Arial" w:hAnsi="Arial" w:hint="cs"/>
          <w:noProof w:val="0"/>
          <w:rtl/>
        </w:rPr>
        <w:t>לתקופה נוספת של מספר חודשים, מעבר ל-75 ימים על פי ההחלטה מיום 22.5.24, תוצאה זו אינה עולה בקנה אחד עם לשון ההחלטה.</w:t>
      </w:r>
    </w:p>
    <w:p w:rsidR="00AD16D2" w:rsidRDefault="00AD16D2" w:rsidP="00AD16D2">
      <w:pPr>
        <w:pStyle w:val="ad"/>
        <w:tabs>
          <w:tab w:val="left" w:pos="1134"/>
        </w:tabs>
        <w:spacing w:line="360" w:lineRule="auto"/>
        <w:jc w:val="both"/>
        <w:rPr>
          <w:rFonts w:ascii="Arial" w:hAnsi="Arial"/>
          <w:noProof w:val="0"/>
        </w:rPr>
      </w:pPr>
    </w:p>
    <w:p w:rsidR="00AD16D2" w:rsidRDefault="00AD16D2" w:rsidP="00AD16D2">
      <w:pPr>
        <w:pStyle w:val="ad"/>
        <w:numPr>
          <w:ilvl w:val="0"/>
          <w:numId w:val="1"/>
        </w:numPr>
        <w:tabs>
          <w:tab w:val="left" w:pos="1134"/>
        </w:tabs>
        <w:spacing w:line="360" w:lineRule="auto"/>
        <w:jc w:val="both"/>
        <w:rPr>
          <w:rFonts w:ascii="Arial" w:hAnsi="Arial"/>
          <w:noProof w:val="0"/>
        </w:rPr>
      </w:pPr>
      <w:r>
        <w:rPr>
          <w:rFonts w:ascii="Arial" w:hAnsi="Arial" w:hint="cs"/>
          <w:noProof w:val="0"/>
          <w:rtl/>
        </w:rPr>
        <w:t>החלטת כב' הרשם שניתנה אינה סותרת את צו עיכוב ההליכים שניתן ביום 22.5.24 אלא נועדה לאפשר קיום ההחלטה כלשונה, על חלופותיה, בין אם המערערת תפרע החוב במהלך תקופת עיכוב ההליכים, ובין אם לאו.</w:t>
      </w:r>
    </w:p>
    <w:p w:rsidR="002758F4" w:rsidRPr="002758F4" w:rsidRDefault="002758F4" w:rsidP="002758F4">
      <w:pPr>
        <w:tabs>
          <w:tab w:val="left" w:pos="708"/>
        </w:tabs>
        <w:spacing w:line="360" w:lineRule="auto"/>
        <w:ind w:left="720"/>
        <w:jc w:val="both"/>
        <w:rPr>
          <w:rFonts w:ascii="Arial" w:hAnsi="Arial"/>
          <w:noProof w:val="0"/>
        </w:rPr>
      </w:pPr>
      <w:r>
        <w:rPr>
          <w:rFonts w:ascii="Arial" w:hAnsi="Arial" w:hint="cs"/>
          <w:noProof w:val="0"/>
          <w:rtl/>
        </w:rPr>
        <w:t>אני מקבלת את נימוקי החלטת כב' הרשם בעניין מיום 30.6.24.</w:t>
      </w:r>
    </w:p>
    <w:p w:rsidR="00AD16D2" w:rsidRPr="00AD16D2" w:rsidRDefault="00AD16D2" w:rsidP="00AD16D2">
      <w:pPr>
        <w:pStyle w:val="ad"/>
        <w:spacing w:line="360" w:lineRule="auto"/>
        <w:rPr>
          <w:rFonts w:ascii="Arial" w:hAnsi="Arial"/>
          <w:noProof w:val="0"/>
          <w:rtl/>
        </w:rPr>
      </w:pPr>
    </w:p>
    <w:p w:rsidR="00AD16D2" w:rsidRDefault="00AD16D2" w:rsidP="00254DD3">
      <w:pPr>
        <w:pStyle w:val="ad"/>
        <w:numPr>
          <w:ilvl w:val="0"/>
          <w:numId w:val="1"/>
        </w:numPr>
        <w:spacing w:line="360" w:lineRule="auto"/>
        <w:jc w:val="both"/>
        <w:rPr>
          <w:rFonts w:ascii="Arial" w:hAnsi="Arial"/>
          <w:noProof w:val="0"/>
        </w:rPr>
      </w:pPr>
      <w:r>
        <w:rPr>
          <w:rFonts w:ascii="Arial" w:hAnsi="Arial" w:hint="cs"/>
          <w:noProof w:val="0"/>
          <w:rtl/>
        </w:rPr>
        <w:t xml:space="preserve">טענות המערערת בדבר הצעה לפרעון החוב אין מקומן להבחן במסגרת דיונית זו של ערעור נקודתי על החלטת </w:t>
      </w:r>
      <w:r w:rsidR="002758F4">
        <w:rPr>
          <w:rFonts w:ascii="Arial" w:hAnsi="Arial" w:hint="cs"/>
          <w:noProof w:val="0"/>
          <w:rtl/>
        </w:rPr>
        <w:t xml:space="preserve">כב' </w:t>
      </w:r>
      <w:r>
        <w:rPr>
          <w:rFonts w:ascii="Arial" w:hAnsi="Arial" w:hint="cs"/>
          <w:noProof w:val="0"/>
          <w:rtl/>
        </w:rPr>
        <w:t xml:space="preserve">הרשם </w:t>
      </w:r>
      <w:r w:rsidR="002758F4">
        <w:rPr>
          <w:rFonts w:ascii="Arial" w:hAnsi="Arial" w:hint="cs"/>
          <w:noProof w:val="0"/>
          <w:rtl/>
        </w:rPr>
        <w:t xml:space="preserve">לאפשר הנפקת הודעת פינוי. </w:t>
      </w:r>
    </w:p>
    <w:p w:rsidR="00AD16D2" w:rsidRDefault="00AD16D2" w:rsidP="00AD16D2">
      <w:pPr>
        <w:pStyle w:val="ad"/>
        <w:rPr>
          <w:rFonts w:ascii="Arial" w:hAnsi="Arial"/>
          <w:noProof w:val="0"/>
          <w:rtl/>
        </w:rPr>
      </w:pPr>
      <w:r>
        <w:rPr>
          <w:rFonts w:ascii="Arial" w:hAnsi="Arial" w:hint="cs"/>
          <w:noProof w:val="0"/>
          <w:rtl/>
        </w:rPr>
        <w:t>כך גם טענות בעניין מאזן נוחות אשר נבחנו במסגרת ההחלטה מיום 22.5.24.</w:t>
      </w:r>
    </w:p>
    <w:p w:rsidR="00AD16D2" w:rsidRPr="00AD16D2" w:rsidRDefault="00AD16D2" w:rsidP="00AD16D2">
      <w:pPr>
        <w:pStyle w:val="ad"/>
        <w:rPr>
          <w:rFonts w:ascii="Arial" w:hAnsi="Arial"/>
          <w:noProof w:val="0"/>
          <w:rtl/>
        </w:rPr>
      </w:pPr>
    </w:p>
    <w:p w:rsidR="00AD16D2" w:rsidRDefault="00AD16D2" w:rsidP="007A6319">
      <w:pPr>
        <w:pStyle w:val="ad"/>
        <w:numPr>
          <w:ilvl w:val="0"/>
          <w:numId w:val="1"/>
        </w:numPr>
        <w:spacing w:line="360" w:lineRule="auto"/>
        <w:jc w:val="both"/>
        <w:rPr>
          <w:rFonts w:ascii="Arial" w:hAnsi="Arial"/>
          <w:noProof w:val="0"/>
        </w:rPr>
      </w:pPr>
      <w:r>
        <w:rPr>
          <w:rFonts w:ascii="Arial" w:hAnsi="Arial" w:hint="cs"/>
          <w:noProof w:val="0"/>
          <w:rtl/>
        </w:rPr>
        <w:t>יש לדחות גם את טענות המערערת בדבר סד הזמנים, אשר נוצר בעטיה.</w:t>
      </w:r>
    </w:p>
    <w:p w:rsidR="00AD16D2" w:rsidRDefault="00AD16D2" w:rsidP="002758F4">
      <w:pPr>
        <w:pStyle w:val="ad"/>
        <w:spacing w:line="360" w:lineRule="auto"/>
        <w:jc w:val="both"/>
        <w:rPr>
          <w:rFonts w:ascii="Arial" w:hAnsi="Arial"/>
          <w:noProof w:val="0"/>
          <w:rtl/>
        </w:rPr>
      </w:pPr>
      <w:r>
        <w:rPr>
          <w:rFonts w:ascii="Arial" w:hAnsi="Arial" w:hint="cs"/>
          <w:noProof w:val="0"/>
          <w:rtl/>
        </w:rPr>
        <w:t>המערערת המתינה ליום האחרון להגשת ערעור על החלטת כב' הרשם</w:t>
      </w:r>
      <w:r w:rsidR="002758F4">
        <w:rPr>
          <w:rFonts w:ascii="Arial" w:hAnsi="Arial" w:hint="cs"/>
          <w:noProof w:val="0"/>
          <w:rtl/>
        </w:rPr>
        <w:t>.</w:t>
      </w:r>
    </w:p>
    <w:p w:rsidR="00AD16D2" w:rsidRDefault="00AD16D2" w:rsidP="002758F4">
      <w:pPr>
        <w:pStyle w:val="ad"/>
        <w:spacing w:line="360" w:lineRule="auto"/>
        <w:jc w:val="both"/>
        <w:rPr>
          <w:rFonts w:ascii="Arial" w:hAnsi="Arial"/>
          <w:noProof w:val="0"/>
          <w:rtl/>
        </w:rPr>
      </w:pPr>
      <w:r>
        <w:rPr>
          <w:rFonts w:ascii="Arial" w:hAnsi="Arial" w:hint="cs"/>
          <w:noProof w:val="0"/>
          <w:rtl/>
        </w:rPr>
        <w:t>במועד מתן החלטתו ביום 29.6.24 ולאחריה המצאת הודעת הפינוי, היו למערערת 45 ימים להערך.</w:t>
      </w:r>
      <w:r w:rsidR="002758F4">
        <w:rPr>
          <w:rFonts w:ascii="Arial" w:hAnsi="Arial" w:hint="cs"/>
          <w:noProof w:val="0"/>
          <w:rtl/>
        </w:rPr>
        <w:t xml:space="preserve"> </w:t>
      </w:r>
      <w:r>
        <w:rPr>
          <w:rFonts w:ascii="Arial" w:hAnsi="Arial"/>
          <w:noProof w:val="0"/>
          <w:rtl/>
        </w:rPr>
        <w:tab/>
      </w:r>
      <w:r>
        <w:rPr>
          <w:rFonts w:ascii="Arial" w:hAnsi="Arial" w:hint="cs"/>
          <w:noProof w:val="0"/>
          <w:rtl/>
        </w:rPr>
        <w:t>זאת בתוך 75 ימים אשר נקצבו בהחלטה מיום 22.5.24</w:t>
      </w:r>
      <w:r w:rsidR="002758F4">
        <w:rPr>
          <w:rFonts w:ascii="Arial" w:hAnsi="Arial" w:hint="cs"/>
          <w:noProof w:val="0"/>
          <w:rtl/>
        </w:rPr>
        <w:t>.</w:t>
      </w:r>
    </w:p>
    <w:p w:rsidR="00AD16D2" w:rsidRDefault="00AD16D2" w:rsidP="00254DD3">
      <w:pPr>
        <w:spacing w:line="360" w:lineRule="auto"/>
        <w:ind w:left="720"/>
        <w:jc w:val="both"/>
        <w:rPr>
          <w:rFonts w:ascii="Arial" w:hAnsi="Arial"/>
          <w:noProof w:val="0"/>
          <w:rtl/>
        </w:rPr>
      </w:pPr>
      <w:r>
        <w:rPr>
          <w:rFonts w:ascii="Arial" w:hAnsi="Arial" w:hint="cs"/>
          <w:noProof w:val="0"/>
          <w:rtl/>
        </w:rPr>
        <w:lastRenderedPageBreak/>
        <w:t>כך שלא ניתן לקבל טענת המערער</w:t>
      </w:r>
      <w:r w:rsidR="002758F4">
        <w:rPr>
          <w:rFonts w:ascii="Arial" w:hAnsi="Arial" w:hint="cs"/>
          <w:noProof w:val="0"/>
          <w:rtl/>
        </w:rPr>
        <w:t>ת</w:t>
      </w:r>
      <w:r>
        <w:rPr>
          <w:rFonts w:ascii="Arial" w:hAnsi="Arial" w:hint="cs"/>
          <w:noProof w:val="0"/>
          <w:rtl/>
        </w:rPr>
        <w:t xml:space="preserve"> כי ניתנו לה 7 ימים בלבד להערך לפינוי בתקופה 8.8.24-15.8.24.</w:t>
      </w:r>
      <w:r w:rsidR="002758F4">
        <w:rPr>
          <w:rFonts w:ascii="Arial" w:hAnsi="Arial" w:hint="cs"/>
          <w:noProof w:val="0"/>
          <w:rtl/>
        </w:rPr>
        <w:t xml:space="preserve"> </w:t>
      </w:r>
      <w:r>
        <w:rPr>
          <w:rFonts w:ascii="Arial" w:hAnsi="Arial" w:hint="cs"/>
          <w:noProof w:val="0"/>
          <w:rtl/>
        </w:rPr>
        <w:t xml:space="preserve">אותם 7 ימים הנם </w:t>
      </w:r>
      <w:r w:rsidRPr="00AD16D2">
        <w:rPr>
          <w:rFonts w:ascii="Arial" w:hAnsi="Arial" w:hint="cs"/>
          <w:b/>
          <w:bCs/>
          <w:noProof w:val="0"/>
          <w:rtl/>
        </w:rPr>
        <w:t>מעבר</w:t>
      </w:r>
      <w:r>
        <w:rPr>
          <w:rFonts w:ascii="Arial" w:hAnsi="Arial" w:hint="cs"/>
          <w:noProof w:val="0"/>
          <w:rtl/>
        </w:rPr>
        <w:t xml:space="preserve"> ל-75 ימי עיכוב ביצוע על פי החלטת בימ"ש.</w:t>
      </w:r>
    </w:p>
    <w:p w:rsidR="002758F4" w:rsidRPr="00AD16D2" w:rsidRDefault="002758F4" w:rsidP="002758F4">
      <w:pPr>
        <w:spacing w:line="360" w:lineRule="auto"/>
        <w:ind w:left="720"/>
        <w:jc w:val="both"/>
        <w:rPr>
          <w:rFonts w:ascii="Arial" w:hAnsi="Arial"/>
          <w:noProof w:val="0"/>
        </w:rPr>
      </w:pPr>
    </w:p>
    <w:p w:rsidR="002758F4" w:rsidRDefault="002758F4" w:rsidP="007A6319">
      <w:pPr>
        <w:pStyle w:val="ad"/>
        <w:numPr>
          <w:ilvl w:val="0"/>
          <w:numId w:val="1"/>
        </w:numPr>
        <w:spacing w:line="360" w:lineRule="auto"/>
        <w:jc w:val="both"/>
        <w:rPr>
          <w:rFonts w:ascii="Arial" w:hAnsi="Arial"/>
          <w:noProof w:val="0"/>
        </w:rPr>
      </w:pPr>
      <w:r>
        <w:rPr>
          <w:rFonts w:ascii="Arial" w:hAnsi="Arial" w:hint="cs"/>
          <w:noProof w:val="0"/>
          <w:rtl/>
        </w:rPr>
        <w:t>מובהר כי אין בתוצאת הערעור משום הבעת עמדה בבקשות לפרעון חוב שהגישה המערערת לגופן, ודינן להתברר במסגרת הדיונית המתאימה.</w:t>
      </w:r>
    </w:p>
    <w:p w:rsidR="002758F4" w:rsidRDefault="002758F4" w:rsidP="002758F4">
      <w:pPr>
        <w:pStyle w:val="ad"/>
        <w:spacing w:line="360" w:lineRule="auto"/>
        <w:jc w:val="both"/>
        <w:rPr>
          <w:rFonts w:ascii="Arial" w:hAnsi="Arial"/>
          <w:noProof w:val="0"/>
        </w:rPr>
      </w:pPr>
    </w:p>
    <w:p w:rsidR="00AD16D2" w:rsidRPr="002758F4" w:rsidRDefault="002758F4" w:rsidP="002758F4">
      <w:pPr>
        <w:pStyle w:val="ad"/>
        <w:numPr>
          <w:ilvl w:val="0"/>
          <w:numId w:val="1"/>
        </w:numPr>
        <w:spacing w:line="360" w:lineRule="auto"/>
        <w:jc w:val="both"/>
        <w:rPr>
          <w:rFonts w:ascii="Arial" w:hAnsi="Arial"/>
          <w:noProof w:val="0"/>
        </w:rPr>
      </w:pPr>
      <w:r>
        <w:rPr>
          <w:rFonts w:ascii="Arial" w:hAnsi="Arial" w:hint="cs"/>
          <w:noProof w:val="0"/>
          <w:rtl/>
        </w:rPr>
        <w:t xml:space="preserve">על יסוד האמור </w:t>
      </w:r>
      <w:r>
        <w:rPr>
          <w:rFonts w:ascii="Arial" w:hAnsi="Arial"/>
          <w:noProof w:val="0"/>
          <w:rtl/>
        </w:rPr>
        <w:t>–</w:t>
      </w:r>
      <w:r>
        <w:rPr>
          <w:rFonts w:ascii="Arial" w:hAnsi="Arial" w:hint="cs"/>
          <w:noProof w:val="0"/>
          <w:rtl/>
        </w:rPr>
        <w:t xml:space="preserve"> </w:t>
      </w:r>
      <w:r>
        <w:rPr>
          <w:rFonts w:ascii="Arial" w:hAnsi="Arial" w:hint="cs"/>
          <w:b/>
          <w:bCs/>
          <w:noProof w:val="0"/>
          <w:rtl/>
        </w:rPr>
        <w:t>הערעור נדחה.</w:t>
      </w:r>
    </w:p>
    <w:p w:rsidR="002758F4" w:rsidRDefault="002758F4" w:rsidP="002758F4">
      <w:pPr>
        <w:pStyle w:val="ad"/>
        <w:spacing w:line="360" w:lineRule="auto"/>
        <w:rPr>
          <w:rFonts w:ascii="Arial" w:hAnsi="Arial"/>
          <w:noProof w:val="0"/>
          <w:rtl/>
        </w:rPr>
      </w:pPr>
      <w:r>
        <w:rPr>
          <w:rFonts w:ascii="Arial" w:hAnsi="Arial" w:hint="cs"/>
          <w:noProof w:val="0"/>
          <w:rtl/>
        </w:rPr>
        <w:t xml:space="preserve">המערערת תשלם למשיב הוצאות הערעור בסך 5,000 ₪. הסכום ישולם </w:t>
      </w:r>
      <w:r w:rsidR="0029616A">
        <w:rPr>
          <w:rFonts w:ascii="Arial" w:hAnsi="Arial" w:hint="cs"/>
          <w:noProof w:val="0"/>
          <w:rtl/>
        </w:rPr>
        <w:t xml:space="preserve">למשיב </w:t>
      </w:r>
      <w:r>
        <w:rPr>
          <w:rFonts w:ascii="Arial" w:hAnsi="Arial" w:hint="cs"/>
          <w:noProof w:val="0"/>
          <w:rtl/>
        </w:rPr>
        <w:t>מתוך סכום העירבון שהפקידה המערערת בקופת בימ"ש.</w:t>
      </w:r>
    </w:p>
    <w:p w:rsidR="002758F4" w:rsidRPr="002758F4" w:rsidRDefault="002758F4" w:rsidP="002758F4">
      <w:pPr>
        <w:pStyle w:val="ad"/>
        <w:spacing w:line="360" w:lineRule="auto"/>
        <w:rPr>
          <w:rFonts w:ascii="Arial" w:hAnsi="Arial"/>
          <w:noProof w:val="0"/>
          <w:rtl/>
        </w:rPr>
      </w:pPr>
    </w:p>
    <w:p w:rsidR="002758F4" w:rsidRDefault="002758F4" w:rsidP="002758F4">
      <w:pPr>
        <w:spacing w:line="360" w:lineRule="auto"/>
        <w:jc w:val="both"/>
        <w:rPr>
          <w:rFonts w:ascii="Arial" w:hAnsi="Arial"/>
          <w:noProof w:val="0"/>
          <w:u w:val="single"/>
          <w:rtl/>
        </w:rPr>
      </w:pPr>
      <w:r>
        <w:rPr>
          <w:rFonts w:ascii="Arial" w:hAnsi="Arial" w:hint="cs"/>
          <w:noProof w:val="0"/>
          <w:u w:val="single"/>
          <w:rtl/>
        </w:rPr>
        <w:t>המזכירות תמציא לצדדים ותסגור התיק.</w:t>
      </w:r>
    </w:p>
    <w:p w:rsidR="002758F4" w:rsidRPr="002758F4" w:rsidRDefault="002758F4" w:rsidP="002758F4">
      <w:pPr>
        <w:spacing w:line="360" w:lineRule="auto"/>
        <w:jc w:val="both"/>
        <w:rPr>
          <w:rFonts w:ascii="Arial" w:hAnsi="Arial"/>
          <w:noProof w:val="0"/>
          <w:u w:val="single"/>
        </w:rPr>
      </w:pPr>
      <w:r>
        <w:rPr>
          <w:rFonts w:ascii="Arial" w:hAnsi="Arial" w:hint="cs"/>
          <w:noProof w:val="0"/>
          <w:u w:val="single"/>
          <w:rtl/>
        </w:rPr>
        <w:t>פסק הדין ניתן לפרסום, ללא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1443F" w:rsidP="00633C4F">
      <w:pPr>
        <w:spacing w:line="360" w:lineRule="auto"/>
        <w:ind w:left="3600" w:firstLine="720"/>
      </w:pPr>
      <w:sdt>
        <w:sdtPr>
          <w:rPr>
            <w:rtl/>
          </w:rPr>
          <w:alias w:val="MergeField"/>
          <w:tag w:val="1237"/>
          <w:id w:val="-761062560"/>
        </w:sdtPr>
        <w:sdtEndPr/>
        <w:sdtContent>
          <w:r w:rsidR="00A2686E">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86E" w:rsidRDefault="00A2686E">
      <w:r>
        <w:separator/>
      </w:r>
    </w:p>
  </w:endnote>
  <w:endnote w:type="continuationSeparator" w:id="0">
    <w:p w:rsidR="00A2686E" w:rsidRDefault="00A2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43F" w:rsidRDefault="0081443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1443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1443F">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43F" w:rsidRDefault="0081443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86E" w:rsidRDefault="00A2686E">
      <w:r>
        <w:separator/>
      </w:r>
    </w:p>
  </w:footnote>
  <w:footnote w:type="continuationSeparator" w:id="0">
    <w:p w:rsidR="00A2686E" w:rsidRDefault="00A26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43F" w:rsidRDefault="0081443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bookmarkStart w:id="0" w:name="_GoBack"/>
    <w:bookmarkEnd w:id="0"/>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1443F" w:rsidP="003C014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ע"ר</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39385-07-24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3C0140">
                <w:rPr>
                  <w:rFonts w:hint="cs"/>
                  <w:b/>
                  <w:bCs/>
                  <w:noProof w:val="0"/>
                  <w:sz w:val="26"/>
                  <w:szCs w:val="26"/>
                  <w:rtl/>
                </w:rPr>
                <w:t>פלונית נגד פלוני</w:t>
              </w:r>
            </w:sdtContent>
          </w:sdt>
        </w:p>
        <w:p w:rsidR="00694556" w:rsidRPr="00957C90" w:rsidRDefault="00694556">
          <w:pPr>
            <w:rPr>
              <w:b/>
              <w:bCs/>
              <w:noProof w:val="0"/>
              <w:sz w:val="2"/>
              <w:szCs w:val="2"/>
              <w:rtl/>
            </w:rPr>
          </w:pPr>
        </w:p>
        <w:p w:rsidR="00957C90" w:rsidRPr="00957C90" w:rsidRDefault="00957C90">
          <w:pPr>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43F" w:rsidRDefault="008144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0D04F4"/>
    <w:multiLevelType w:val="hybridMultilevel"/>
    <w:tmpl w:val="85FEB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cumentProtection w:edit="readOnly" w:enforcement="1" w:cryptProviderType="rsaAES" w:cryptAlgorithmClass="hash" w:cryptAlgorithmType="typeAny" w:cryptAlgorithmSid="14" w:cryptSpinCount="100000" w:hash="VlYJww/857TaDWeI8SwNC/KUQvAiRDjBMjXjb/FMMpE/L2NlKZwOw2nSdT+adV1C5IZHrrwVxuPcMwQLcfra6w==" w:salt="pG1r2AvRW8MjKC002t5qmQ=="/>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401430"/>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401430&amp;lt;/CaseID&amp;gt;_x000d__x000a_        &amp;lt;DocumentID&amp;gt;451954039&amp;lt;/DocumentID&amp;gt;_x000d__x000a_      &amp;lt;/dt_DocumentCase&amp;gt;_x000d__x000a_      &amp;lt;dt_Document diffgr:id=&amp;quot;dt_Document1&amp;quot; msdata:rowOrder=&amp;quot;0&amp;quot;&amp;gt;_x000d__x000a_        &amp;lt;DocumentID&amp;gt;451954039&amp;lt;/DocumentID&amp;gt;_x000d__x000a_        &amp;lt;DocumentMainID&amp;gt;0&amp;lt;/DocumentMainID&amp;gt;_x000d__x000a_        &amp;lt;CaseID&amp;gt;81401430&amp;lt;/CaseID&amp;gt;_x000d__x000a_        &amp;lt;DocumentIncludedDate&amp;gt;2024-08-05T09:37:46.953+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8-05T09:37:46.953+03:00&amp;lt;/DocumentSavingDate&amp;gt;_x000d__x000a_        &amp;lt;DocumentChangeDate&amp;gt;2024-08-05T09:37:47.14+03:00&amp;lt;/DocumentChangeDate&amp;gt;_x000d__x000a_        &amp;lt;IsScanned&amp;gt;false&amp;lt;/IsScanned&amp;gt;_x000d__x000a_        &amp;lt;PageQuantity&amp;gt;0&amp;lt;/PageQuantity&amp;gt;_x000d__x000a_        &amp;lt;DocumentStatusID&amp;gt;2&amp;lt;/DocumentStatusID&amp;gt;_x000d__x000a_        &amp;lt;DocumentStatusChangeDate&amp;gt;2024-08-05T09:37:47.14+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51877740&amp;lt;/OriginalDocumentID&amp;gt;_x000d__x000a_        &amp;lt;PrivillegeID&amp;gt;1&amp;lt;/PrivillegeID&amp;gt;_x000d__x000a_        &amp;lt;FromPage&amp;gt;0&amp;lt;/FromPage&amp;gt;_x000d__x000a_        &amp;lt;ToPage&amp;gt;0&amp;lt;/ToPage&amp;gt;_x000d__x000a_        &amp;lt;FileID&amp;gt;771e422191010000090037f6aadf8264&amp;lt;/FileID&amp;gt;_x000d__x000a_        &amp;lt;URL&amp;gt;\\CTLNFSV02\doc_repository\213\513\32568bc3fdfd437292fac4cf1476b302_copy.docx&amp;lt;/URL&amp;gt;_x000d__x000a_        &amp;lt;OlivePriority&amp;gt;1&amp;lt;/OlivePriority&amp;gt;_x000d__x000a_        &amp;lt;MetaDataTypeID&amp;gt;1&amp;lt;/MetaDataTypeID&amp;gt;_x000d__x000a_        &amp;lt;MetaDataChangeDate&amp;gt;2024-08-05T09:37:47.14+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4-08-05T09:33:52.7378124&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8-05T09:33:52.73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564AB"/>
    <w:rsid w:val="000D4A02"/>
    <w:rsid w:val="000F0E01"/>
    <w:rsid w:val="001072A9"/>
    <w:rsid w:val="00121F97"/>
    <w:rsid w:val="001277D7"/>
    <w:rsid w:val="00132017"/>
    <w:rsid w:val="0014234E"/>
    <w:rsid w:val="00145A87"/>
    <w:rsid w:val="001C4003"/>
    <w:rsid w:val="001F5474"/>
    <w:rsid w:val="00214F17"/>
    <w:rsid w:val="002352F7"/>
    <w:rsid w:val="00254DD3"/>
    <w:rsid w:val="0027277D"/>
    <w:rsid w:val="002758F4"/>
    <w:rsid w:val="0029616A"/>
    <w:rsid w:val="00381D3A"/>
    <w:rsid w:val="003823DA"/>
    <w:rsid w:val="003C0140"/>
    <w:rsid w:val="0043595F"/>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4035B"/>
    <w:rsid w:val="00671BD5"/>
    <w:rsid w:val="006805C1"/>
    <w:rsid w:val="006816EC"/>
    <w:rsid w:val="00694556"/>
    <w:rsid w:val="006961E8"/>
    <w:rsid w:val="006B3244"/>
    <w:rsid w:val="006E1A53"/>
    <w:rsid w:val="007056AA"/>
    <w:rsid w:val="00744F41"/>
    <w:rsid w:val="00795F31"/>
    <w:rsid w:val="007A24FE"/>
    <w:rsid w:val="007A35AA"/>
    <w:rsid w:val="007A6319"/>
    <w:rsid w:val="007F1048"/>
    <w:rsid w:val="007F6D89"/>
    <w:rsid w:val="0081443F"/>
    <w:rsid w:val="00820005"/>
    <w:rsid w:val="00846D27"/>
    <w:rsid w:val="008610A7"/>
    <w:rsid w:val="008B2EB5"/>
    <w:rsid w:val="008E1332"/>
    <w:rsid w:val="00903896"/>
    <w:rsid w:val="00927813"/>
    <w:rsid w:val="00944D13"/>
    <w:rsid w:val="00957C90"/>
    <w:rsid w:val="009A70A4"/>
    <w:rsid w:val="009B70F6"/>
    <w:rsid w:val="009C358E"/>
    <w:rsid w:val="009E0263"/>
    <w:rsid w:val="009F764F"/>
    <w:rsid w:val="00A003AF"/>
    <w:rsid w:val="00A00D8A"/>
    <w:rsid w:val="00A267CF"/>
    <w:rsid w:val="00A2686E"/>
    <w:rsid w:val="00A342BD"/>
    <w:rsid w:val="00A43458"/>
    <w:rsid w:val="00AC4E19"/>
    <w:rsid w:val="00AD16D2"/>
    <w:rsid w:val="00AF1ED6"/>
    <w:rsid w:val="00B32C61"/>
    <w:rsid w:val="00B368FE"/>
    <w:rsid w:val="00B80CBD"/>
    <w:rsid w:val="00BC3369"/>
    <w:rsid w:val="00BF77EE"/>
    <w:rsid w:val="00C32E0F"/>
    <w:rsid w:val="00C42BF9"/>
    <w:rsid w:val="00C83E56"/>
    <w:rsid w:val="00CC63CE"/>
    <w:rsid w:val="00D319B3"/>
    <w:rsid w:val="00D36A71"/>
    <w:rsid w:val="00D53924"/>
    <w:rsid w:val="00D60849"/>
    <w:rsid w:val="00D96D8C"/>
    <w:rsid w:val="00DA755B"/>
    <w:rsid w:val="00DD2F1D"/>
    <w:rsid w:val="00DD337E"/>
    <w:rsid w:val="00DF3154"/>
    <w:rsid w:val="00E00B6F"/>
    <w:rsid w:val="00E44DDF"/>
    <w:rsid w:val="00E54642"/>
    <w:rsid w:val="00E97908"/>
    <w:rsid w:val="00EA1F7A"/>
    <w:rsid w:val="00EF3ED0"/>
    <w:rsid w:val="00F17E56"/>
    <w:rsid w:val="00FB3C14"/>
    <w:rsid w:val="00FE54F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D2F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9574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8768D1"/>
    <w:rsid w:val="00B40AEB"/>
    <w:rsid w:val="00B65812"/>
    <w:rsid w:val="00CA5833"/>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B820ABE91FCF4DFC913BD2C5D8D7455E">
    <w:name w:val="B820ABE91FCF4DFC913BD2C5D8D7455E"/>
    <w:rsid w:val="008768D1"/>
    <w:pPr>
      <w:bidi/>
    </w:pPr>
  </w:style>
  <w:style w:type="paragraph" w:customStyle="1" w:styleId="8E1B09C07BCC417195014D4367296485">
    <w:name w:val="8E1B09C07BCC417195014D4367296485"/>
    <w:rsid w:val="008768D1"/>
    <w:pPr>
      <w:bidi/>
    </w:pPr>
  </w:style>
  <w:style w:type="paragraph" w:customStyle="1" w:styleId="8EA2F3BD845148FE9D2A510E8740F561">
    <w:name w:val="8EA2F3BD845148FE9D2A510E8740F561"/>
    <w:rsid w:val="008768D1"/>
    <w:pPr>
      <w:bidi/>
    </w:pPr>
  </w:style>
  <w:style w:type="paragraph" w:customStyle="1" w:styleId="A309B1EC693647419DCD893BDCB81CF5">
    <w:name w:val="A309B1EC693647419DCD893BDCB81CF5"/>
    <w:rsid w:val="008768D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81401430</CaseID>
    <CaseJudicialPersonPresentationDS>
      <CaseJudicalPersonActive>
        <CaseID>81401430</CaseID>
        <JudicialPersonID>038630166@GOV.IL</JudicialPersonID>
        <JudicialPersonTypeID>1</JudicialPersonTypeID>
        <JudicialTypeID>1</JudicialTypeID>
        <IsChairman>false</IsChairman>
        <TreatmentStartDate>2024-08-01T08:24:05.9+03:00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עומר ניר הוד</FullName>
        <FirstName>עומר</FirstName>
        <LastName>ניר הוד</LastName>
        <PartyPropertyName/>
        <AuthenticationTypeAndNumber>מ.ר. 70924</AuthenticationTypeAndNumber>
        <RepresentatedOrRepresentativesNames>אסתר דודאי</RepresentatedOrRepresentativesNames>
        <RepresentatedOrRepresentativesCount>1</RepresentatedOrRepresentativesCount>
        <InvitedBy/>
        <CaseID>81401430</CaseID>
        <CaseJudicialPersonPresentationDS>
          <CaseJudicalPersonActive>
            <CaseID>81401430</CaseID>
            <JudicialPersonID>038630166@GOV.IL</JudicialPersonID>
            <JudicialPersonTypeID>1</JudicialPersonTypeID>
            <JudicialTypeID>1</JudicialTypeID>
            <IsChairman>false</IsChairman>
            <TreatmentStartDate>2024-08-01T08:24:05.9+03:00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273423536</CasePartyID>
        <PartyTypeID>2</PartyTypeID>
        <ActivityStatusID>1</ActivityStatusID>
        <PartyAliasID>24</PartyAliasID>
        <PartyAliasName>בא כוח מערערים</PartyAliasName>
        <LegalEntityID>76688024</LegalEntityID>
        <CaseLegalEntityID>129889430</CaseLegalEntityID>
        <AuthenticationTypeID>4</AuthenticationTypeID>
        <AuthenticationTypeName>מ.ר.</AuthenticationTypeName>
        <LegalEntityNumber>70924</LegalEntityNumber>
        <IsMainPartyType>true</IsMainPartyType>
        <CaseDisplayIdentifier>39385-07-24</CaseDisplayIdentifier>
        <CaseTypeID>10038</CaseTypeID>
        <CaseTypeName>ערעור על החלטת רשם (ע"ר)</CaseTypeName>
        <CaseName>דודאי נ' אבגנים</CaseName>
        <FullAddress>הערבה 3 קרית תעופה </FullAddress>
        <EmailAddress>office@nirhod-law.co.il</EmailAddress>
        <MotionID>0</MotionID>
        <CasePleaID>0</CasePleaID>
        <LinkedCaseID>0</LinkedCaseID>
        <PartyID>1</PartyID>
        <CasePartyCategoryID>2</CasePartyCategoryID>
        <LegalEntityAddressID>80787738</LegalEntityAddressID>
        <LegalEntityEmailAddressID>67958231</LegalEntityEmailAddressID>
        <PleaTypeID>6</PleaTypeID>
        <LawyerOfficeName>משרד עו"ד עומר ניר הוד </LawyerOfficeName>
        <LawyerOfficeID>76688025</LawyerOfficeID>
        <GroupPartyAlias/>
        <IsConverted>false</IsConverted>
        <LegalEntityNameID>84577009</LegalEntityNameID>
        <RepresentatedNamesOfAssistant/>
        <LegalEntityTypeID>4</LegalEntityTypeID>
        <IsVerdictExists>false</IsVerdictExists>
        <IsAsirAzir>false</IsAsirAzir>
        <MainAndSecSpec/>
        <IsPublicationProhibited>false</IsPublicationProhibited>
        <PublicationProhibitedFullName>עומר ניר הוד</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שלמה ובר</FullName>
        <FirstName>שלמה</FirstName>
        <LastName>ובר</LastName>
        <PartyPropertyName/>
        <AuthenticationTypeAndNumber>מ.ר. 8112</AuthenticationTypeAndNumber>
        <RepresentatedOrRepresentativesNames>מאיר אבגנים</RepresentatedOrRepresentativesNames>
        <RepresentatedOrRepresentativesCount>1</RepresentatedOrRepresentativesCount>
        <InvitedBy/>
        <CaseID>81401430</CaseID>
        <CaseJudicialPersonPresentationDS>
          <CaseJudicalPersonActive>
            <CaseID>81401430</CaseID>
            <JudicialPersonID>038630166@GOV.IL</JudicialPersonID>
            <JudicialPersonTypeID>1</JudicialPersonTypeID>
            <JudicialTypeID>1</JudicialTypeID>
            <IsChairman>false</IsChairman>
            <TreatmentStartDate>2024-08-01T08:24:05.9+03:00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272900508</CasePartyID>
        <PartyTypeID>2</PartyTypeID>
        <ActivityStatusID>1</ActivityStatusID>
        <PartyAliasID>23</PartyAliasID>
        <PartyAliasName>בא כוח משיבים</PartyAliasName>
        <LegalEntityID>383872</LegalEntityID>
        <CaseLegalEntityID>129707240</CaseLegalEntityID>
        <AuthenticationTypeID>4</AuthenticationTypeID>
        <AuthenticationTypeName>מ.ר.</AuthenticationTypeName>
        <LegalEntityNumber>8112</LegalEntityNumber>
        <IsMainPartyType>true</IsMainPartyType>
        <CaseDisplayIdentifier>39385-07-24</CaseDisplayIdentifier>
        <CaseTypeID>10038</CaseTypeID>
        <CaseTypeName>ערעור על החלטת רשם (ע"ר)</CaseTypeName>
        <CaseName>דודאי נ' אבגנים</CaseName>
        <FullAddress>המקצוע 9 תל אביב -יפו </FullAddress>
        <EmailAddress>weber.law.office@gmail.com</EmailAddress>
        <MotionID>0</MotionID>
        <CasePleaID>0</CasePleaID>
        <FatherName xml:space="preserve">        </FatherName>
        <LinkedCaseID>0</LinkedCaseID>
        <PartyID>2</PartyID>
        <CasePartyCategoryID>2</CasePartyCategoryID>
        <LegalEntityAddressID>78380900</LegalEntityAddressID>
        <LegalEntityEmailAddressID>67917100</LegalEntityEmailAddressID>
        <PleaTypeID>6</PleaTypeID>
        <LawyerOfficeName>משרד עו"ד: ובר-לאלו</LawyerOfficeName>
        <LawyerOfficeID>424516</LawyerOfficeID>
        <GroupPartyAlias/>
        <IsConverted>false</IsConverted>
        <LegalEntityNameID>4856</LegalEntityNameID>
        <RepresentatedNamesOfAssistant/>
        <LegalEntityTypeID>4</LegalEntityTypeID>
        <IsVerdictExists>false</IsVerdictExists>
        <IsAsirAzir>false</IsAsirAzir>
        <MainAndSecSpec/>
        <IsPublicationProhibited>false</IsPublicationProhibited>
        <PublicationProhibitedFullName>שלמה ובר</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אסתר דודאי</FullName>
        <FirstName>אסתר</FirstName>
        <LastName>דודאי</LastName>
        <PartyPropertyName/>
        <AuthenticationTypeAndNumber>ת"ז 053362588</AuthenticationTypeAndNumber>
        <RepresentatedOrRepresentativesNames>עומר ניר הוד</RepresentatedOrRepresentativesNames>
        <RepresentatedOrRepresentativesCount>1</RepresentatedOrRepresentativesCount>
        <InvitedBy/>
        <CaseID>81401430</CaseID>
        <CaseJudicialPersonPresentationDS>
          <CaseJudicalPersonActive>
            <CaseID>81401430</CaseID>
            <JudicialPersonID>038630166@GOV.IL</JudicialPersonID>
            <JudicialPersonTypeID>1</JudicialPersonTypeID>
            <JudicialTypeID>1</JudicialTypeID>
            <IsChairman>false</IsChairman>
            <TreatmentStartDate>2024-08-01T08:24:05.9+03:00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272826574</CasePartyID>
        <PartyTypeID>1</PartyTypeID>
        <ActivityStatusID>1</ActivityStatusID>
        <PartyAliasID>5</PartyAliasID>
        <PartyAliasName>מערער</PartyAliasName>
        <OrdinalNumber>1</OrdinalNumber>
        <LegalEntityID>16641510</LegalEntityID>
        <CaseLegalEntityID>129684004</CaseLegalEntityID>
        <AuthenticationTypeID>1</AuthenticationTypeID>
        <AuthenticationTypeName>ת"ז</AuthenticationTypeName>
        <LegalEntityNumber>053362588</LegalEntityNumber>
        <IsMainPartyType>true</IsMainPartyType>
        <CaseDisplayIdentifier>39385-07-24</CaseDisplayIdentifier>
        <CaseTypeID>10038</CaseTypeID>
        <CaseTypeName>ערעור על החלטת רשם (ע"ר)</CaseTypeName>
        <CaseName>דודאי נ' אבגנים</CaseName>
        <FullAddress>מבואות 29 סביון* </FullAddress>
        <MotionID>0</MotionID>
        <CasePleaID>0</CasePleaID>
        <FatherName>יהודה</FatherName>
        <LinkedCaseID>0</LinkedCaseID>
        <PartyID>1</PartyID>
        <CasePartyCategoryID>2</CasePartyCategoryID>
        <LegalEntityAddressID>89550091</LegalEntityAddressID>
        <PleaTypeID>6</PleaTypeID>
        <GroupPartyAlias>מערערים</GroupPartyAlias>
        <IsConverted>false</IsConverted>
        <LegalEntityRegisteredNameID>9426433</LegalEntityRegisteredNameID>
        <LegalEntityNameID>96864344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דודאי</PublicationProhibitedFullName>
      </CaseParties>
      <CaseParties>
        <PartyTypeName>בא כוח</PartyTypeName>
        <ProceedingType>כתב טענות עיקרי</ProceedingType>
        <PleaName>הודעת ערעור</PleaName>
        <PartyBelonging> - </PartyBelonging>
        <IsSubProceeding>FALSE</IsSubProceeding>
        <FullName>דוד עמיחי</FullName>
        <FirstName>דוד</FirstName>
        <LastName>עמיחי</LastName>
        <PartyPropertyName/>
        <AuthenticationTypeAndNumber>מ.ר. 15142</AuthenticationTypeAndNumber>
        <RepresentatedOrRepresentativesNames/>
        <RepresentatedOrRepresentativesCount>0</RepresentatedOrRepresentativesCount>
        <InvitedBy/>
        <CaseID>81401430</CaseID>
        <CaseJudicialPersonPresentationDS>
          <CaseJudicalPersonActive>
            <CaseID>81401430</CaseID>
            <JudicialPersonID>038630166@GOV.IL</JudicialPersonID>
            <JudicialPersonTypeID>1</JudicialPersonTypeID>
            <JudicialTypeID>1</JudicialTypeID>
            <IsChairman>false</IsChairman>
            <TreatmentStartDate>2024-08-01T08:24:05.9+03:00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272826575</CasePartyID>
        <PartyTypeID>2</PartyTypeID>
        <ActivityStatusID>1</ActivityStatusID>
        <OrdinalNumber>1</OrdinalNumber>
        <LegalEntityID>381023</LegalEntityID>
        <CaseLegalEntityID>129684005</CaseLegalEntityID>
        <AuthenticationTypeID>4</AuthenticationTypeID>
        <AuthenticationTypeName>מ.ר.</AuthenticationTypeName>
        <LegalEntityNumber>15142</LegalEntityNumber>
        <IsMainPartyType>true</IsMainPartyType>
        <CaseDisplayIdentifier>39385-07-24</CaseDisplayIdentifier>
        <CaseTypeID>10038</CaseTypeID>
        <CaseTypeName>ערעור על החלטת רשם (ע"ר)</CaseTypeName>
        <CaseName>דודאי נ' אבגנים</CaseName>
        <FullAddress>קרל נטר 2 תל אביב -יפו </FullAddress>
        <MotionID>0</MotionID>
        <CasePleaID>0</CasePleaID>
        <LinkedCaseID>0</LinkedCaseID>
        <PartyID>1</PartyID>
        <CasePartyCategoryID>2</CasePartyCategoryID>
        <LegalEntityAddressID>424005</LegalEntityAddressID>
        <PleaTypeID>6</PleaTypeID>
        <LawyerOfficeName>משרד עו"ד: דוד עמיחי</LawyerOfficeName>
        <LawyerOfficeID>421667</LawyerOfficeID>
        <GroupPartyAlias/>
        <IsConverted>false</IsConverted>
        <LegalEntityNameID>2007</LegalEntityNameID>
        <RepresentatedNamesOfAssistant/>
        <LegalEntityTypeID>4</LegalEntityTypeID>
        <IsVerdictExists>false</IsVerdictExists>
        <IsAsirAzir>false</IsAsirAzir>
        <MainAndSecSpec/>
        <IsPublicationProhibited>false</IsPublicationProhibited>
        <PublicationProhibitedFullName>דוד עמיחי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מאיר אבגנים</FullName>
        <FirstName>מאיר</FirstName>
        <LastName>אבגנים</LastName>
        <PartyPropertyName/>
        <AuthenticationTypeAndNumber>ת"ז 000402867</AuthenticationTypeAndNumber>
        <RepresentatedOrRepresentativesNames>שלמה ובר</RepresentatedOrRepresentativesNames>
        <RepresentatedOrRepresentativesCount>1</RepresentatedOrRepresentativesCount>
        <InvitedBy/>
        <CaseID>81401430</CaseID>
        <CaseJudicialPersonPresentationDS>
          <CaseJudicalPersonActive>
            <CaseID>81401430</CaseID>
            <JudicialPersonID>038630166@GOV.IL</JudicialPersonID>
            <JudicialPersonTypeID>1</JudicialPersonTypeID>
            <JudicialTypeID>1</JudicialTypeID>
            <IsChairman>false</IsChairman>
            <TreatmentStartDate>2024-08-01T08:24:05.9+03:00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272826576</CasePartyID>
        <PartyTypeID>1</PartyTypeID>
        <ActivityStatusID>1</ActivityStatusID>
        <PartyAliasID>4</PartyAliasID>
        <PartyAliasName>משיב</PartyAliasName>
        <OrdinalNumber>1</OrdinalNumber>
        <LegalEntityID>23586132</LegalEntityID>
        <CaseLegalEntityID>129684006</CaseLegalEntityID>
        <AuthenticationTypeID>1</AuthenticationTypeID>
        <AuthenticationTypeName>ת"ז</AuthenticationTypeName>
        <LegalEntityNumber>000402867</LegalEntityNumber>
        <IsMainPartyType>true</IsMainPartyType>
        <CaseDisplayIdentifier>39385-07-24</CaseDisplayIdentifier>
        <CaseTypeID>10038</CaseTypeID>
        <CaseTypeName>ערעור על החלטת רשם (ע"ר)</CaseTypeName>
        <CaseName>דודאי נ' אבגנים</CaseName>
        <FullAddress>המקצוע 9 תל אביב -יפו </FullAddress>
        <MotionID>0</MotionID>
        <CasePleaID>0</CasePleaID>
        <FatherName>יהודה</FatherName>
        <LinkedCaseID>0</LinkedCaseID>
        <PartyID>2</PartyID>
        <CasePartyCategoryID>2</CasePartyCategoryID>
        <LegalEntityAddressID>89550092</LegalEntityAddressID>
        <PleaTypeID>6</PleaTypeID>
        <GroupPartyAlias>משיבים</GroupPartyAlias>
        <IsConverted>false</IsConverted>
        <LegalEntityRegisteredNameID>10501784</LegalEntityRegisteredNameID>
        <LegalEntityNameID>96864345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מאיר אבגנים</PublicationProhibitedFullName>
      </CaseParties>
    </CasePartiesSelectionDS>
    <DecisionName>פסק דין  שניתנה ע"י  עידית בן-דב ג'וליאן</DecisionName>
    <CourtDisplayName>בית משפט לענייני משפחה בפתח תקווה</CourtDisplayName>
    <IsCaseJudgePanel>false</IsCaseJudgePanel>
    <DecisionSignatureDate>2024-08-04T18:51:26.1133052+03:00</DecisionSignatureDate>
    <OpenCaseDate>2024-07-15T16:34:00+03:00</OpenCaseDate>
    <CaseFeeSum>0.000</CaseFeeSum>
    <ExternalCaseNumber>520382-09-</ExternalCaseNumber>
    <DecisionTypeID>2</DecisionTypeID>
    <DecisionSignatureUserName>עידית בן-דב ג'וליאן</DecisionSignatureUserName>
    <DecisionSignatureDateHebrew>2024-08-04T18:51:26.1133052+03:00</DecisionSignatureDateHebrew>
    <DecisionWriterID>038630166@GOV.IL</DecisionWriterID>
    <CourtAddress>רח' בזל 1 א', פתח תקווה -1</CourtAddress>
    <IsAutoTextInCaseExist>false</IsAutoTextInCaseExist>
    <DecisionSignatureRoleName>שופט</DecisionSignatureRoleName>
    <DecisionSignatureUserTitleName>שופטת</DecisionSignatureUserTitleName>
    <CaseName>דודאי נ' אבגנים</CaseName>
    <DecisionNumberInCase>7</DecisionNumberInCase>
  </dt_Decision>
  <dt_DecisionCase>
    <DecisionID>0</DecisionID>
    <CaseID>81401430</CaseID>
    <CaseJudicialPersonPresentationDS>
      <CaseJudicalPersonActive>
        <CaseID>81401430</CaseID>
        <JudicialPersonID>038630166@GOV.IL</JudicialPersonID>
        <JudicialPersonTypeID>1</JudicialPersonTypeID>
        <JudicialTypeID>1</JudicialTypeID>
        <IsChairman>false</IsChairman>
        <TreatmentStartDate>2024-08-01T08:24:05.9+03:00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עומר ניר הוד</FullName>
        <FirstName>עומר</FirstName>
        <LastName>ניר הוד</LastName>
        <PartyPropertyName/>
        <AuthenticationTypeAndNumber>מ.ר. 70924</AuthenticationTypeAndNumber>
        <RepresentatedOrRepresentativesNames>אסתר דודאי</RepresentatedOrRepresentativesNames>
        <RepresentatedOrRepresentativesCount>1</RepresentatedOrRepresentativesCount>
        <InvitedBy/>
        <CaseID>81401430</CaseID>
        <CaseJudicialPersonPresentationDS>
          <CaseJudicalPersonActive>
            <CaseID>81401430</CaseID>
            <JudicialPersonID>038630166@GOV.IL</JudicialPersonID>
            <JudicialPersonTypeID>1</JudicialPersonTypeID>
            <JudicialTypeID>1</JudicialTypeID>
            <IsChairman>false</IsChairman>
            <TreatmentStartDate>2024-08-01T08:24:05.9+03:00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273423536</CasePartyID>
        <PartyTypeID>2</PartyTypeID>
        <ActivityStatusID>1</ActivityStatusID>
        <PartyAliasID>24</PartyAliasID>
        <PartyAliasName>בא כוח מערערים</PartyAliasName>
        <LegalEntityID>76688024</LegalEntityID>
        <CaseLegalEntityID>129889430</CaseLegalEntityID>
        <AuthenticationTypeID>4</AuthenticationTypeID>
        <AuthenticationTypeName>מ.ר.</AuthenticationTypeName>
        <LegalEntityNumber>70924</LegalEntityNumber>
        <IsMainPartyType>true</IsMainPartyType>
        <CaseDisplayIdentifier>39385-07-24</CaseDisplayIdentifier>
        <CaseTypeID>10038</CaseTypeID>
        <CaseTypeName>ערעור על החלטת רשם (ע"ר)</CaseTypeName>
        <CaseName>דודאי נ' אבגנים</CaseName>
        <FullAddress>הערבה 3 קרית תעופה </FullAddress>
        <EmailAddress>office@nirhod-law.co.il</EmailAddress>
        <MotionID>0</MotionID>
        <CasePleaID>0</CasePleaID>
        <LinkedCaseID>0</LinkedCaseID>
        <PartyID>1</PartyID>
        <CasePartyCategoryID>2</CasePartyCategoryID>
        <LegalEntityAddressID>80787738</LegalEntityAddressID>
        <LegalEntityEmailAddressID>67958231</LegalEntityEmailAddressID>
        <PleaTypeID>6</PleaTypeID>
        <LawyerOfficeName>משרד עו"ד עומר ניר הוד </LawyerOfficeName>
        <LawyerOfficeID>76688025</LawyerOfficeID>
        <GroupPartyAlias/>
        <IsConverted>false</IsConverted>
        <LegalEntityNameID>84577009</LegalEntityNameID>
        <RepresentatedNamesOfAssistant/>
        <LegalEntityTypeID>4</LegalEntityTypeID>
        <IsVerdictExists>false</IsVerdictExists>
        <IsAsirAzir>false</IsAsirAzir>
        <MainAndSecSpec/>
        <IsPublicationProhibited>false</IsPublicationProhibited>
        <PublicationProhibitedFullName>עומר ניר הוד</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שלמה ובר</FullName>
        <FirstName>שלמה</FirstName>
        <LastName>ובר</LastName>
        <PartyPropertyName/>
        <AuthenticationTypeAndNumber>מ.ר. 8112</AuthenticationTypeAndNumber>
        <RepresentatedOrRepresentativesNames>מאיר אבגנים</RepresentatedOrRepresentativesNames>
        <RepresentatedOrRepresentativesCount>1</RepresentatedOrRepresentativesCount>
        <InvitedBy/>
        <CaseID>81401430</CaseID>
        <CaseJudicialPersonPresentationDS>
          <CaseJudicalPersonActive>
            <CaseID>81401430</CaseID>
            <JudicialPersonID>038630166@GOV.IL</JudicialPersonID>
            <JudicialPersonTypeID>1</JudicialPersonTypeID>
            <JudicialTypeID>1</JudicialTypeID>
            <IsChairman>false</IsChairman>
            <TreatmentStartDate>2024-08-01T08:24:05.9+03:00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272900508</CasePartyID>
        <PartyTypeID>2</PartyTypeID>
        <ActivityStatusID>1</ActivityStatusID>
        <PartyAliasID>23</PartyAliasID>
        <PartyAliasName>בא כוח משיבים</PartyAliasName>
        <LegalEntityID>383872</LegalEntityID>
        <CaseLegalEntityID>129707240</CaseLegalEntityID>
        <AuthenticationTypeID>4</AuthenticationTypeID>
        <AuthenticationTypeName>מ.ר.</AuthenticationTypeName>
        <LegalEntityNumber>8112</LegalEntityNumber>
        <IsMainPartyType>true</IsMainPartyType>
        <CaseDisplayIdentifier>39385-07-24</CaseDisplayIdentifier>
        <CaseTypeID>10038</CaseTypeID>
        <CaseTypeName>ערעור על החלטת רשם (ע"ר)</CaseTypeName>
        <CaseName>דודאי נ' אבגנים</CaseName>
        <FullAddress>המקצוע 9 תל אביב -יפו </FullAddress>
        <EmailAddress>weber.law.office@gmail.com</EmailAddress>
        <MotionID>0</MotionID>
        <CasePleaID>0</CasePleaID>
        <FatherName xml:space="preserve">        </FatherName>
        <LinkedCaseID>0</LinkedCaseID>
        <PartyID>2</PartyID>
        <CasePartyCategoryID>2</CasePartyCategoryID>
        <LegalEntityAddressID>78380900</LegalEntityAddressID>
        <LegalEntityEmailAddressID>67917100</LegalEntityEmailAddressID>
        <PleaTypeID>6</PleaTypeID>
        <LawyerOfficeName>משרד עו"ד: ובר-לאלו</LawyerOfficeName>
        <LawyerOfficeID>424516</LawyerOfficeID>
        <GroupPartyAlias/>
        <IsConverted>false</IsConverted>
        <LegalEntityNameID>4856</LegalEntityNameID>
        <RepresentatedNamesOfAssistant/>
        <LegalEntityTypeID>4</LegalEntityTypeID>
        <IsVerdictExists>false</IsVerdictExists>
        <IsAsirAzir>false</IsAsirAzir>
        <MainAndSecSpec/>
        <IsPublicationProhibited>false</IsPublicationProhibited>
        <PublicationProhibitedFullName>שלמה ובר</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אסתר דודאי</FullName>
        <FirstName>אסתר</FirstName>
        <LastName>דודאי</LastName>
        <PartyPropertyName/>
        <AuthenticationTypeAndNumber>ת"ז 053362588</AuthenticationTypeAndNumber>
        <RepresentatedOrRepresentativesNames>עומר ניר הוד</RepresentatedOrRepresentativesNames>
        <RepresentatedOrRepresentativesCount>1</RepresentatedOrRepresentativesCount>
        <InvitedBy/>
        <CaseID>81401430</CaseID>
        <CaseJudicialPersonPresentationDS>
          <CaseJudicalPersonActive>
            <CaseID>81401430</CaseID>
            <JudicialPersonID>038630166@GOV.IL</JudicialPersonID>
            <JudicialPersonTypeID>1</JudicialPersonTypeID>
            <JudicialTypeID>1</JudicialTypeID>
            <IsChairman>false</IsChairman>
            <TreatmentStartDate>2024-08-01T08:24:05.9+03:00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272826574</CasePartyID>
        <PartyTypeID>1</PartyTypeID>
        <ActivityStatusID>1</ActivityStatusID>
        <PartyAliasID>5</PartyAliasID>
        <PartyAliasName>מערער</PartyAliasName>
        <OrdinalNumber>1</OrdinalNumber>
        <LegalEntityID>16641510</LegalEntityID>
        <CaseLegalEntityID>129684004</CaseLegalEntityID>
        <AuthenticationTypeID>1</AuthenticationTypeID>
        <AuthenticationTypeName>ת"ז</AuthenticationTypeName>
        <LegalEntityNumber>053362588</LegalEntityNumber>
        <IsMainPartyType>true</IsMainPartyType>
        <CaseDisplayIdentifier>39385-07-24</CaseDisplayIdentifier>
        <CaseTypeID>10038</CaseTypeID>
        <CaseTypeName>ערעור על החלטת רשם (ע"ר)</CaseTypeName>
        <CaseName>דודאי נ' אבגנים</CaseName>
        <FullAddress>מבואות 29 סביון* </FullAddress>
        <MotionID>0</MotionID>
        <CasePleaID>0</CasePleaID>
        <FatherName>יהודה</FatherName>
        <LinkedCaseID>0</LinkedCaseID>
        <PartyID>1</PartyID>
        <CasePartyCategoryID>2</CasePartyCategoryID>
        <LegalEntityAddressID>89550091</LegalEntityAddressID>
        <PleaTypeID>6</PleaTypeID>
        <GroupPartyAlias>מערערים</GroupPartyAlias>
        <IsConverted>false</IsConverted>
        <LegalEntityRegisteredNameID>9426433</LegalEntityRegisteredNameID>
        <LegalEntityNameID>96864344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דודאי</PublicationProhibitedFullName>
      </CaseParties>
      <CaseParties>
        <PartyTypeName>בא כוח</PartyTypeName>
        <ProceedingType>כתב טענות עיקרי</ProceedingType>
        <PleaName>הודעת ערעור</PleaName>
        <PartyBelonging> - </PartyBelonging>
        <IsSubProceeding>FALSE</IsSubProceeding>
        <FullName>דוד עמיחי</FullName>
        <FirstName>דוד</FirstName>
        <LastName>עמיחי</LastName>
        <PartyPropertyName/>
        <AuthenticationTypeAndNumber>מ.ר. 15142</AuthenticationTypeAndNumber>
        <RepresentatedOrRepresentativesNames/>
        <RepresentatedOrRepresentativesCount>0</RepresentatedOrRepresentativesCount>
        <InvitedBy/>
        <CaseID>81401430</CaseID>
        <CaseJudicialPersonPresentationDS>
          <CaseJudicalPersonActive>
            <CaseID>81401430</CaseID>
            <JudicialPersonID>038630166@GOV.IL</JudicialPersonID>
            <JudicialPersonTypeID>1</JudicialPersonTypeID>
            <JudicialTypeID>1</JudicialTypeID>
            <IsChairman>false</IsChairman>
            <TreatmentStartDate>2024-08-01T08:24:05.9+03:00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272826575</CasePartyID>
        <PartyTypeID>2</PartyTypeID>
        <ActivityStatusID>1</ActivityStatusID>
        <OrdinalNumber>1</OrdinalNumber>
        <LegalEntityID>381023</LegalEntityID>
        <CaseLegalEntityID>129684005</CaseLegalEntityID>
        <AuthenticationTypeID>4</AuthenticationTypeID>
        <AuthenticationTypeName>מ.ר.</AuthenticationTypeName>
        <LegalEntityNumber>15142</LegalEntityNumber>
        <IsMainPartyType>true</IsMainPartyType>
        <CaseDisplayIdentifier>39385-07-24</CaseDisplayIdentifier>
        <CaseTypeID>10038</CaseTypeID>
        <CaseTypeName>ערעור על החלטת רשם (ע"ר)</CaseTypeName>
        <CaseName>דודאי נ' אבגנים</CaseName>
        <FullAddress>קרל נטר 2 תל אביב -יפו </FullAddress>
        <MotionID>0</MotionID>
        <CasePleaID>0</CasePleaID>
        <LinkedCaseID>0</LinkedCaseID>
        <PartyID>1</PartyID>
        <CasePartyCategoryID>2</CasePartyCategoryID>
        <LegalEntityAddressID>424005</LegalEntityAddressID>
        <PleaTypeID>6</PleaTypeID>
        <LawyerOfficeName>משרד עו"ד: דוד עמיחי</LawyerOfficeName>
        <LawyerOfficeID>421667</LawyerOfficeID>
        <GroupPartyAlias/>
        <IsConverted>false</IsConverted>
        <LegalEntityNameID>2007</LegalEntityNameID>
        <RepresentatedNamesOfAssistant/>
        <LegalEntityTypeID>4</LegalEntityTypeID>
        <IsVerdictExists>false</IsVerdictExists>
        <IsAsirAzir>false</IsAsirAzir>
        <MainAndSecSpec/>
        <IsPublicationProhibited>false</IsPublicationProhibited>
        <PublicationProhibitedFullName>דוד עמיחי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מאיר אבגנים</FullName>
        <FirstName>מאיר</FirstName>
        <LastName>אבגנים</LastName>
        <PartyPropertyName/>
        <AuthenticationTypeAndNumber>ת"ז 000402867</AuthenticationTypeAndNumber>
        <RepresentatedOrRepresentativesNames>שלמה ובר</RepresentatedOrRepresentativesNames>
        <RepresentatedOrRepresentativesCount>1</RepresentatedOrRepresentativesCount>
        <InvitedBy/>
        <CaseID>81401430</CaseID>
        <CaseJudicialPersonPresentationDS>
          <CaseJudicalPersonActive>
            <CaseID>81401430</CaseID>
            <JudicialPersonID>038630166@GOV.IL</JudicialPersonID>
            <JudicialPersonTypeID>1</JudicialPersonTypeID>
            <JudicialTypeID>1</JudicialTypeID>
            <IsChairman>false</IsChairman>
            <TreatmentStartDate>2024-08-01T08:24:05.9+03:00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272826576</CasePartyID>
        <PartyTypeID>1</PartyTypeID>
        <ActivityStatusID>1</ActivityStatusID>
        <PartyAliasID>4</PartyAliasID>
        <PartyAliasName>משיב</PartyAliasName>
        <OrdinalNumber>1</OrdinalNumber>
        <LegalEntityID>23586132</LegalEntityID>
        <CaseLegalEntityID>129684006</CaseLegalEntityID>
        <AuthenticationTypeID>1</AuthenticationTypeID>
        <AuthenticationTypeName>ת"ז</AuthenticationTypeName>
        <LegalEntityNumber>000402867</LegalEntityNumber>
        <IsMainPartyType>true</IsMainPartyType>
        <CaseDisplayIdentifier>39385-07-24</CaseDisplayIdentifier>
        <CaseTypeID>10038</CaseTypeID>
        <CaseTypeName>ערעור על החלטת רשם (ע"ר)</CaseTypeName>
        <CaseName>דודאי נ' אבגנים</CaseName>
        <FullAddress>המקצוע 9 תל אביב -יפו </FullAddress>
        <MotionID>0</MotionID>
        <CasePleaID>0</CasePleaID>
        <FatherName>יהודה</FatherName>
        <LinkedCaseID>0</LinkedCaseID>
        <PartyID>2</PartyID>
        <CasePartyCategoryID>2</CasePartyCategoryID>
        <LegalEntityAddressID>89550092</LegalEntityAddressID>
        <PleaTypeID>6</PleaTypeID>
        <GroupPartyAlias>משיבים</GroupPartyAlias>
        <IsConverted>false</IsConverted>
        <LegalEntityRegisteredNameID>10501784</LegalEntityRegisteredNameID>
        <LegalEntityNameID>96864345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מאיר אבגנים</PublicationProhibitedFullName>
      </CaseParties>
    </CasePartiesSelectionDS>
    <CaseName>דודאי נ' אבגנים</CaseName>
    <CaseDisplayIdentifier>39385-07-24</CaseDisplayIdentifier>
    <CaseInterestID>148</CaseInterestID>
    <CaseTypeShortName>ע"ר</CaseTypeShortName>
  </dt_DecisionCase>
  <dt_DecisionJudgePanel>
    <JudgeID>038630166@GOV.IL</JudgeID>
    <DisplayName>עידית בן-דב ג'וליאן</DisplayName>
    <RoleName>שופט</RoleName>
    <UserTitleName>שופטת</UserTitleName>
  </dt_DecisionJudgePanel>
  <dt_LegalEntityDetails>
    <Fax>03-5370659</Fax>
    <Phone>03-5379988</Phone>
    <PartyID>2</PartyID>
    <PartyTypeID>2</PartyTypeID>
    <DecisionID>0</DecisionID>
    <StreetName>המקצוע 9</StreetName>
    <ZipCode>6777209</ZipCode>
    <CityName>תל אביב -יפו</CityName>
    <FullName>שלמה ובר</FullName>
    <Email>weber.law.office@gmail.com</Email>
    <IsPublicationProhibited>false</IsPublicationProhibited>
  </dt_LegalEntityDetails>
  <dt_LegalEntityDetails>
    <Fax>03-3036302</Fax>
    <Phone>03-3036301</Phone>
    <PartyID>1</PartyID>
    <PartyTypeID>2</PartyTypeID>
    <DecisionID>0</DecisionID>
    <StreetName>הערבה 3</StreetName>
    <CityName>קרית תעופה</CityName>
    <FullName>עומר  ניר הוד </FullName>
    <Email>office@nirhod-law.co.il</Email>
    <IsPublicationProhibited>false</IsPublicationProhibited>
  </dt_LegalEntityDetails>
  <dt_LegalEntityDetails>
    <PartyID>1</PartyID>
    <PartyTypeID>1</PartyTypeID>
    <DecisionID>0</DecisionID>
    <StreetName>מבואות 29</StreetName>
    <CityName>סביון*</CityName>
    <FullName>אסתר דודאי</FullName>
    <IsPublicationProhibited>false</IsPublicationProhibited>
  </dt_LegalEntityDetails>
  <dt_LegalEntityDetails>
    <Fax>03-5605575</Fax>
    <Phone>03-5605454</Phone>
    <PartyID>1</PartyID>
    <PartyTypeID>2</PartyTypeID>
    <DecisionID>0</DecisionID>
    <StreetName>קרל נטר 2</StreetName>
    <ZipCode>65202</ZipCode>
    <CityName>תל אביב -יפו</CityName>
    <FullName>דוד עמיחי</FullName>
    <Email>david@amichailaw.co.il</Email>
    <IsPublicationProhibited>false</IsPublicationProhibited>
  </dt_LegalEntityDetails>
  <dt_LegalEntityDetails>
    <PartyID>2</PartyID>
    <PartyTypeID>1</PartyTypeID>
    <DecisionID>0</DecisionID>
    <StreetName>המקצוע 9</StreetName>
    <CityName>תל אביב -יפו</CityName>
    <FullName>מאיר אבגנים</FullName>
    <IsPublicationProhibited>false</IsPublicationProhibited>
  </dt_LegalEntityDetails>
  <dt_CaseJudicalPersonActive>
    <CaseJudicalPerson>שופטת עידית בן-דב ג'וליאן</CaseJudicalPerson>
  </dt_CaseJudicalPersonActive>
  <dt_Sitting/>
</DecisionTemplateDS>
</file>

<file path=customXml/itemProps1.xml><?xml version="1.0" encoding="utf-8"?>
<ds:datastoreItem xmlns:ds="http://schemas.openxmlformats.org/officeDocument/2006/customXml" ds:itemID="{E9E7CAF0-E20F-42F0-BA13-E81D093467D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1058</Words>
  <Characters>5295</Characters>
  <Application>Microsoft Office Word</Application>
  <DocSecurity>12</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2024-08-08T05:47:00Z</dcterms:created>
  <dcterms:modified xsi:type="dcterms:W3CDTF">2024-08-08T05:47:00Z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